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26059" w14:textId="77777777" w:rsidR="00040C3B" w:rsidRPr="00273122" w:rsidRDefault="00040C3B" w:rsidP="00040C3B">
      <w:pPr>
        <w:jc w:val="both"/>
        <w:rPr>
          <w:b/>
          <w:bCs/>
        </w:rPr>
      </w:pPr>
      <w:r w:rsidRPr="00273122">
        <w:rPr>
          <w:b/>
          <w:bCs/>
        </w:rPr>
        <w:t>RESEARCH PROPOSAL SUBMISSION FORM</w:t>
      </w:r>
    </w:p>
    <w:p w14:paraId="3987296C" w14:textId="77777777" w:rsidR="00040C3B" w:rsidRPr="003D159F" w:rsidRDefault="00040C3B" w:rsidP="00040C3B">
      <w:pPr>
        <w:jc w:val="both"/>
        <w:rPr>
          <w:b/>
          <w:bCs/>
        </w:rPr>
      </w:pPr>
      <w:r>
        <w:t xml:space="preserve"> </w:t>
      </w:r>
      <w:r>
        <w:rPr>
          <w:b/>
          <w:bCs/>
        </w:rPr>
        <w:t>STUDY SYNOPSIS (Maximum 1500 words)</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371"/>
      </w:tblGrid>
      <w:tr w:rsidR="00040C3B" w:rsidRPr="0077771B" w14:paraId="47CC5136" w14:textId="77777777" w:rsidTr="0034014D">
        <w:tc>
          <w:tcPr>
            <w:tcW w:w="2694" w:type="dxa"/>
          </w:tcPr>
          <w:p w14:paraId="114CEE14" w14:textId="77777777" w:rsidR="00040C3B" w:rsidRPr="000324A0" w:rsidRDefault="00040C3B" w:rsidP="0034014D">
            <w:pPr>
              <w:spacing w:line="240" w:lineRule="auto"/>
              <w:contextualSpacing/>
              <w:rPr>
                <w:b/>
              </w:rPr>
            </w:pPr>
            <w:r w:rsidRPr="000324A0">
              <w:rPr>
                <w:b/>
              </w:rPr>
              <w:t>TITLE</w:t>
            </w:r>
          </w:p>
        </w:tc>
        <w:tc>
          <w:tcPr>
            <w:tcW w:w="7371" w:type="dxa"/>
          </w:tcPr>
          <w:p w14:paraId="6455B9F8" w14:textId="20F3A198" w:rsidR="00040C3B" w:rsidRPr="00653724" w:rsidRDefault="00653724" w:rsidP="00653724">
            <w:pPr>
              <w:rPr>
                <w:rFonts w:ascii="Calibri" w:hAnsi="Calibri" w:cs="Calibri"/>
                <w:b/>
                <w:bCs/>
              </w:rPr>
            </w:pPr>
            <w:r w:rsidRPr="00653724">
              <w:rPr>
                <w:rFonts w:ascii="Calibri" w:hAnsi="Calibri" w:cs="Calibri"/>
                <w:b/>
                <w:bCs/>
              </w:rPr>
              <w:t>Evaluation of General Medicine Perioperative Services in Victoria</w:t>
            </w:r>
          </w:p>
        </w:tc>
      </w:tr>
      <w:tr w:rsidR="00040C3B" w:rsidRPr="0077771B" w14:paraId="772E113A" w14:textId="77777777" w:rsidTr="0034014D">
        <w:tc>
          <w:tcPr>
            <w:tcW w:w="2694" w:type="dxa"/>
          </w:tcPr>
          <w:p w14:paraId="04545099" w14:textId="77777777" w:rsidR="00040C3B" w:rsidRPr="000324A0" w:rsidRDefault="00040C3B" w:rsidP="0034014D">
            <w:pPr>
              <w:spacing w:line="240" w:lineRule="auto"/>
              <w:contextualSpacing/>
              <w:rPr>
                <w:b/>
              </w:rPr>
            </w:pPr>
            <w:r>
              <w:rPr>
                <w:b/>
              </w:rPr>
              <w:t>PRINCIPAL INVESTIGATOR, AFFILIATIONS AND CONTACT DETAILS</w:t>
            </w:r>
          </w:p>
        </w:tc>
        <w:tc>
          <w:tcPr>
            <w:tcW w:w="7371" w:type="dxa"/>
          </w:tcPr>
          <w:p w14:paraId="31A4B81A" w14:textId="5F02ECF6" w:rsidR="00040C3B" w:rsidRDefault="00653724" w:rsidP="0034014D">
            <w:pPr>
              <w:spacing w:line="240" w:lineRule="auto"/>
              <w:contextualSpacing/>
            </w:pPr>
            <w:r>
              <w:t>A/Prof Ar Kar Aung</w:t>
            </w:r>
          </w:p>
          <w:p w14:paraId="49E78660" w14:textId="4FFAA3FA" w:rsidR="00040C3B" w:rsidRDefault="00653724" w:rsidP="0034014D">
            <w:pPr>
              <w:spacing w:line="240" w:lineRule="auto"/>
              <w:contextualSpacing/>
            </w:pPr>
            <w:r>
              <w:t>Department of General Medicine</w:t>
            </w:r>
          </w:p>
          <w:p w14:paraId="521ADBF4" w14:textId="2A49E1A0" w:rsidR="00040C3B" w:rsidRDefault="00653724" w:rsidP="0034014D">
            <w:pPr>
              <w:spacing w:line="240" w:lineRule="auto"/>
              <w:contextualSpacing/>
            </w:pPr>
            <w:r>
              <w:t>Alfred Hospital, Melbourne, VIC 3004</w:t>
            </w:r>
          </w:p>
          <w:p w14:paraId="6B74F9A1" w14:textId="0C70C9F9" w:rsidR="00040C3B" w:rsidRDefault="00653724" w:rsidP="0034014D">
            <w:pPr>
              <w:spacing w:line="240" w:lineRule="auto"/>
              <w:contextualSpacing/>
            </w:pPr>
            <w:r>
              <w:t>0417 228 088</w:t>
            </w:r>
          </w:p>
          <w:p w14:paraId="0199751A" w14:textId="00469798" w:rsidR="00040C3B" w:rsidRPr="000324A0" w:rsidRDefault="00653724" w:rsidP="0034014D">
            <w:pPr>
              <w:spacing w:line="240" w:lineRule="auto"/>
              <w:contextualSpacing/>
            </w:pPr>
            <w:r>
              <w:t>A.Aung@alfred.org.au</w:t>
            </w:r>
          </w:p>
        </w:tc>
      </w:tr>
      <w:tr w:rsidR="00040C3B" w:rsidRPr="0077771B" w14:paraId="6C9957D2" w14:textId="77777777" w:rsidTr="0034014D">
        <w:tc>
          <w:tcPr>
            <w:tcW w:w="2694" w:type="dxa"/>
          </w:tcPr>
          <w:p w14:paraId="3D57D369" w14:textId="77777777" w:rsidR="00040C3B" w:rsidRDefault="00040C3B" w:rsidP="0034014D">
            <w:pPr>
              <w:spacing w:line="240" w:lineRule="auto"/>
              <w:contextualSpacing/>
              <w:rPr>
                <w:b/>
              </w:rPr>
            </w:pPr>
            <w:r>
              <w:rPr>
                <w:b/>
              </w:rPr>
              <w:t>ASSOCIATE INVESTIGATORS AND AFFILIATIONS</w:t>
            </w:r>
          </w:p>
        </w:tc>
        <w:tc>
          <w:tcPr>
            <w:tcW w:w="7371" w:type="dxa"/>
          </w:tcPr>
          <w:p w14:paraId="7D8DF890" w14:textId="77777777" w:rsidR="00653724" w:rsidRPr="002C06AC" w:rsidRDefault="00653724" w:rsidP="00653724">
            <w:pPr>
              <w:spacing w:after="0" w:line="240" w:lineRule="auto"/>
              <w:jc w:val="both"/>
              <w:rPr>
                <w:rFonts w:ascii="Calibri" w:hAnsi="Calibri" w:cs="Calibri"/>
              </w:rPr>
            </w:pPr>
            <w:r w:rsidRPr="002C06AC">
              <w:rPr>
                <w:rFonts w:ascii="Calibri" w:hAnsi="Calibri" w:cs="Calibri"/>
              </w:rPr>
              <w:t>Dr David Buxton, Alfred Health</w:t>
            </w:r>
          </w:p>
          <w:p w14:paraId="4A85A2C6" w14:textId="77777777" w:rsidR="00653724" w:rsidRDefault="00653724" w:rsidP="00653724">
            <w:pPr>
              <w:spacing w:after="0" w:line="240" w:lineRule="auto"/>
              <w:jc w:val="both"/>
              <w:rPr>
                <w:rFonts w:ascii="Calibri" w:hAnsi="Calibri" w:cs="Calibri"/>
              </w:rPr>
            </w:pPr>
            <w:r>
              <w:rPr>
                <w:rFonts w:ascii="Calibri" w:hAnsi="Calibri" w:cs="Calibri"/>
              </w:rPr>
              <w:t>Dr Richard Coates, Alfred Health</w:t>
            </w:r>
          </w:p>
          <w:p w14:paraId="03C26684" w14:textId="77777777" w:rsidR="00653724" w:rsidRDefault="00653724" w:rsidP="00653724">
            <w:pPr>
              <w:spacing w:after="0" w:line="240" w:lineRule="auto"/>
              <w:jc w:val="both"/>
              <w:rPr>
                <w:rFonts w:ascii="Calibri" w:hAnsi="Calibri" w:cs="Calibri"/>
              </w:rPr>
            </w:pPr>
            <w:r>
              <w:rPr>
                <w:rFonts w:ascii="Calibri" w:hAnsi="Calibri" w:cs="Calibri"/>
              </w:rPr>
              <w:t>Associate Professor Harry Gibbs, Alfred Health</w:t>
            </w:r>
          </w:p>
          <w:p w14:paraId="53E38E99" w14:textId="77777777" w:rsidR="00653724" w:rsidRDefault="00653724" w:rsidP="00653724">
            <w:pPr>
              <w:spacing w:after="0" w:line="240" w:lineRule="auto"/>
              <w:jc w:val="both"/>
              <w:rPr>
                <w:rFonts w:ascii="Calibri" w:hAnsi="Calibri" w:cs="Calibri"/>
              </w:rPr>
            </w:pPr>
            <w:r>
              <w:rPr>
                <w:rFonts w:ascii="Calibri" w:hAnsi="Calibri" w:cs="Calibri"/>
              </w:rPr>
              <w:t>Associate Professor Ingrid Hopper, Alfred Health</w:t>
            </w:r>
          </w:p>
          <w:p w14:paraId="5BE269B5" w14:textId="77777777" w:rsidR="00653724" w:rsidRPr="002C06AC" w:rsidRDefault="00653724" w:rsidP="00653724">
            <w:pPr>
              <w:spacing w:after="0" w:line="240" w:lineRule="auto"/>
              <w:jc w:val="both"/>
              <w:rPr>
                <w:rFonts w:ascii="Calibri" w:hAnsi="Calibri" w:cs="Calibri"/>
              </w:rPr>
            </w:pPr>
            <w:r w:rsidRPr="002C06AC">
              <w:rPr>
                <w:rFonts w:ascii="Calibri" w:hAnsi="Calibri" w:cs="Calibri"/>
              </w:rPr>
              <w:t>Dr Amy Osborne (Site Principal Investigator), St Vincent’s Hospital</w:t>
            </w:r>
          </w:p>
          <w:p w14:paraId="17FE34B3" w14:textId="77777777" w:rsidR="00653724" w:rsidRPr="002C06AC" w:rsidRDefault="00653724" w:rsidP="00653724">
            <w:pPr>
              <w:spacing w:after="0" w:line="240" w:lineRule="auto"/>
              <w:jc w:val="both"/>
              <w:rPr>
                <w:rFonts w:ascii="Calibri" w:hAnsi="Calibri" w:cs="Calibri"/>
              </w:rPr>
            </w:pPr>
            <w:r w:rsidRPr="002C06AC">
              <w:rPr>
                <w:rFonts w:ascii="Calibri" w:hAnsi="Calibri" w:cs="Calibri"/>
              </w:rPr>
              <w:t>Associate Professor Douglas Johnson (Site Principal Investigator), Royal Melbourne Hospital</w:t>
            </w:r>
          </w:p>
          <w:p w14:paraId="0E3878BE" w14:textId="77777777" w:rsidR="00653724" w:rsidRPr="002C06AC" w:rsidRDefault="00653724" w:rsidP="00653724">
            <w:pPr>
              <w:spacing w:after="0" w:line="240" w:lineRule="auto"/>
              <w:jc w:val="both"/>
              <w:rPr>
                <w:rFonts w:ascii="Calibri" w:hAnsi="Calibri" w:cs="Calibri"/>
              </w:rPr>
            </w:pPr>
            <w:r w:rsidRPr="002C06AC">
              <w:rPr>
                <w:rFonts w:ascii="Calibri" w:hAnsi="Calibri" w:cs="Calibri"/>
              </w:rPr>
              <w:t>Dr Ned Douglas, Royal Melbourne Hospital</w:t>
            </w:r>
          </w:p>
          <w:p w14:paraId="277CCFF7" w14:textId="77777777" w:rsidR="00653724" w:rsidRPr="002C06AC" w:rsidRDefault="00653724" w:rsidP="00653724">
            <w:pPr>
              <w:spacing w:after="0" w:line="240" w:lineRule="auto"/>
              <w:jc w:val="both"/>
              <w:rPr>
                <w:rFonts w:ascii="Calibri" w:hAnsi="Calibri" w:cs="Calibri"/>
              </w:rPr>
            </w:pPr>
            <w:r w:rsidRPr="002C06AC">
              <w:rPr>
                <w:rFonts w:ascii="Calibri" w:hAnsi="Calibri" w:cs="Calibri"/>
              </w:rPr>
              <w:t>Dr David Lau (Site Principal Investigator), Eastern Health</w:t>
            </w:r>
          </w:p>
          <w:p w14:paraId="7A430062" w14:textId="77777777" w:rsidR="00653724" w:rsidRPr="002C06AC" w:rsidRDefault="00653724" w:rsidP="00653724">
            <w:pPr>
              <w:spacing w:after="0" w:line="240" w:lineRule="auto"/>
              <w:jc w:val="both"/>
              <w:rPr>
                <w:rFonts w:ascii="Calibri" w:hAnsi="Calibri" w:cs="Calibri"/>
              </w:rPr>
            </w:pPr>
            <w:r w:rsidRPr="002C06AC">
              <w:rPr>
                <w:rFonts w:ascii="Calibri" w:hAnsi="Calibri" w:cs="Calibri"/>
              </w:rPr>
              <w:t>Dr May Lea Ong (Site Principal Investigator), Western Health</w:t>
            </w:r>
          </w:p>
          <w:p w14:paraId="77729EA4" w14:textId="77777777" w:rsidR="00653724" w:rsidRPr="002C06AC" w:rsidRDefault="00653724" w:rsidP="00653724">
            <w:pPr>
              <w:spacing w:after="0" w:line="240" w:lineRule="auto"/>
              <w:jc w:val="both"/>
              <w:rPr>
                <w:rFonts w:ascii="Calibri" w:hAnsi="Calibri" w:cs="Calibri"/>
              </w:rPr>
            </w:pPr>
            <w:r w:rsidRPr="002C06AC">
              <w:rPr>
                <w:rFonts w:ascii="Calibri" w:hAnsi="Calibri" w:cs="Calibri"/>
              </w:rPr>
              <w:t>Dr Chris Lemoh, Western Health</w:t>
            </w:r>
          </w:p>
          <w:p w14:paraId="033D0147" w14:textId="77777777" w:rsidR="00653724" w:rsidRPr="002C06AC" w:rsidRDefault="00653724" w:rsidP="00653724">
            <w:pPr>
              <w:spacing w:after="0" w:line="240" w:lineRule="auto"/>
              <w:jc w:val="both"/>
              <w:rPr>
                <w:rFonts w:ascii="Calibri" w:hAnsi="Calibri" w:cs="Calibri"/>
              </w:rPr>
            </w:pPr>
            <w:r w:rsidRPr="002C06AC">
              <w:rPr>
                <w:rFonts w:ascii="Calibri" w:hAnsi="Calibri" w:cs="Calibri"/>
              </w:rPr>
              <w:t>Dr Rona Zhao (Site Principal Investigator), Monash Health</w:t>
            </w:r>
          </w:p>
          <w:p w14:paraId="5666B278" w14:textId="77777777" w:rsidR="00653724" w:rsidRPr="002C06AC" w:rsidRDefault="00653724" w:rsidP="00653724">
            <w:pPr>
              <w:spacing w:after="0" w:line="240" w:lineRule="auto"/>
              <w:jc w:val="both"/>
              <w:rPr>
                <w:rFonts w:ascii="Calibri" w:hAnsi="Calibri" w:cs="Calibri"/>
              </w:rPr>
            </w:pPr>
            <w:r w:rsidRPr="002C06AC">
              <w:rPr>
                <w:rFonts w:ascii="Calibri" w:hAnsi="Calibri" w:cs="Calibri"/>
              </w:rPr>
              <w:t>Dr Elizabeth Potter, Monash Health</w:t>
            </w:r>
          </w:p>
          <w:p w14:paraId="3CD98FD8" w14:textId="77777777" w:rsidR="00653724" w:rsidRPr="002C06AC" w:rsidRDefault="00653724" w:rsidP="00653724">
            <w:pPr>
              <w:spacing w:after="0" w:line="240" w:lineRule="auto"/>
              <w:jc w:val="both"/>
              <w:rPr>
                <w:rFonts w:ascii="Calibri" w:hAnsi="Calibri" w:cs="Calibri"/>
              </w:rPr>
            </w:pPr>
            <w:r w:rsidRPr="002C06AC">
              <w:rPr>
                <w:rFonts w:ascii="Calibri" w:hAnsi="Calibri" w:cs="Calibri"/>
              </w:rPr>
              <w:t>Dr Ronan O’Donnabhain (Site Principal Investigator), Austin Health</w:t>
            </w:r>
          </w:p>
          <w:p w14:paraId="37B7BC3B" w14:textId="77777777" w:rsidR="00040C3B" w:rsidRDefault="00653724" w:rsidP="00653724">
            <w:pPr>
              <w:spacing w:after="0" w:line="240" w:lineRule="auto"/>
              <w:jc w:val="both"/>
              <w:rPr>
                <w:rFonts w:ascii="Calibri" w:hAnsi="Calibri" w:cs="Calibri"/>
              </w:rPr>
            </w:pPr>
            <w:r w:rsidRPr="002C06AC">
              <w:rPr>
                <w:rFonts w:ascii="Calibri" w:hAnsi="Calibri" w:cs="Calibri"/>
              </w:rPr>
              <w:t xml:space="preserve">Dr Edward Ritchie (Site Principal Investigator), </w:t>
            </w:r>
            <w:r>
              <w:rPr>
                <w:rFonts w:ascii="Calibri" w:hAnsi="Calibri" w:cs="Calibri"/>
              </w:rPr>
              <w:t>Grampians Health Ballarat</w:t>
            </w:r>
            <w:r w:rsidRPr="002C06AC">
              <w:rPr>
                <w:rFonts w:ascii="Calibri" w:hAnsi="Calibri" w:cs="Calibri"/>
              </w:rPr>
              <w:t xml:space="preserve"> </w:t>
            </w:r>
          </w:p>
          <w:p w14:paraId="2DBAA6AF" w14:textId="566B5A89" w:rsidR="001C144E" w:rsidRPr="00653724" w:rsidRDefault="001C144E" w:rsidP="00653724">
            <w:pPr>
              <w:spacing w:after="0" w:line="240" w:lineRule="auto"/>
              <w:jc w:val="both"/>
              <w:rPr>
                <w:rFonts w:ascii="Calibri" w:hAnsi="Calibri" w:cs="Calibri"/>
              </w:rPr>
            </w:pPr>
            <w:r>
              <w:rPr>
                <w:rFonts w:ascii="Calibri" w:hAnsi="Calibri" w:cs="Calibri"/>
              </w:rPr>
              <w:t>Dr Vinita Rane (Site Principal Investigator), Northern Health</w:t>
            </w:r>
          </w:p>
        </w:tc>
      </w:tr>
      <w:tr w:rsidR="00040C3B" w:rsidRPr="0077771B" w14:paraId="4733E221" w14:textId="77777777" w:rsidTr="0034014D">
        <w:tc>
          <w:tcPr>
            <w:tcW w:w="2694" w:type="dxa"/>
          </w:tcPr>
          <w:p w14:paraId="51CB01BC" w14:textId="77777777" w:rsidR="00040C3B" w:rsidRDefault="00040C3B" w:rsidP="0034014D">
            <w:pPr>
              <w:spacing w:line="240" w:lineRule="auto"/>
              <w:contextualSpacing/>
              <w:rPr>
                <w:b/>
              </w:rPr>
            </w:pPr>
            <w:r>
              <w:rPr>
                <w:b/>
              </w:rPr>
              <w:t>I AM SEEKING FOR MY STUDY TO BE CONSIDERED AS A (PLEASE CHOOSE ONE):</w:t>
            </w:r>
          </w:p>
          <w:p w14:paraId="740E593E" w14:textId="77777777" w:rsidR="00040C3B" w:rsidRDefault="00040C3B" w:rsidP="0034014D">
            <w:pPr>
              <w:spacing w:line="240" w:lineRule="auto"/>
              <w:contextualSpacing/>
              <w:rPr>
                <w:b/>
              </w:rPr>
            </w:pPr>
          </w:p>
        </w:tc>
        <w:tc>
          <w:tcPr>
            <w:tcW w:w="7371" w:type="dxa"/>
          </w:tcPr>
          <w:p w14:paraId="65829875" w14:textId="0B091C68" w:rsidR="00040C3B" w:rsidRDefault="00040C3B" w:rsidP="0034014D">
            <w:pPr>
              <w:spacing w:line="240" w:lineRule="auto"/>
              <w:contextualSpacing/>
              <w:rPr>
                <w:b/>
                <w:bCs/>
              </w:rPr>
            </w:pPr>
            <w:r w:rsidRPr="007B2CF2">
              <w:rPr>
                <w:b/>
                <w:bCs/>
              </w:rPr>
              <w:t>IMSANZ-RN ENDORSED STUDY</w:t>
            </w:r>
            <w:r w:rsidR="00653724">
              <w:rPr>
                <w:b/>
                <w:bCs/>
              </w:rPr>
              <w:t xml:space="preserve"> </w:t>
            </w:r>
            <w:r w:rsidR="00653724" w:rsidRPr="00653724">
              <w:rPr>
                <w:b/>
                <w:bCs/>
                <w:highlight w:val="yellow"/>
              </w:rPr>
              <w:t>X</w:t>
            </w:r>
          </w:p>
          <w:p w14:paraId="5E1FA0EF" w14:textId="77777777" w:rsidR="00040C3B" w:rsidRPr="007B2CF2" w:rsidRDefault="00040C3B" w:rsidP="0034014D">
            <w:pPr>
              <w:spacing w:line="240" w:lineRule="auto"/>
              <w:contextualSpacing/>
              <w:rPr>
                <w:b/>
                <w:bCs/>
              </w:rPr>
            </w:pPr>
            <w:r w:rsidRPr="007B2CF2">
              <w:rPr>
                <w:b/>
                <w:bCs/>
              </w:rPr>
              <w:t>IMSANZ-RN SUPPORTED STUDY</w:t>
            </w:r>
          </w:p>
          <w:p w14:paraId="7E6DE842" w14:textId="77777777" w:rsidR="00040C3B" w:rsidRDefault="00040C3B" w:rsidP="0034014D">
            <w:pPr>
              <w:spacing w:line="240" w:lineRule="auto"/>
              <w:contextualSpacing/>
              <w:rPr>
                <w:b/>
                <w:bCs/>
              </w:rPr>
            </w:pPr>
            <w:r w:rsidRPr="007B2CF2">
              <w:rPr>
                <w:b/>
                <w:bCs/>
              </w:rPr>
              <w:t>IMSANZ-RN PARTNERED STUDY</w:t>
            </w:r>
          </w:p>
          <w:p w14:paraId="59741A58" w14:textId="77777777" w:rsidR="00040C3B" w:rsidRDefault="00040C3B" w:rsidP="0034014D">
            <w:pPr>
              <w:spacing w:line="240" w:lineRule="auto"/>
              <w:contextualSpacing/>
              <w:rPr>
                <w:b/>
                <w:bCs/>
              </w:rPr>
            </w:pPr>
          </w:p>
          <w:p w14:paraId="5623913C" w14:textId="77777777" w:rsidR="00040C3B" w:rsidRDefault="00040C3B" w:rsidP="0034014D">
            <w:pPr>
              <w:spacing w:line="240" w:lineRule="auto"/>
              <w:contextualSpacing/>
              <w:rPr>
                <w:b/>
                <w:bCs/>
              </w:rPr>
            </w:pPr>
          </w:p>
          <w:p w14:paraId="2D87A0E3" w14:textId="77777777" w:rsidR="00040C3B" w:rsidRDefault="00040C3B" w:rsidP="0034014D">
            <w:pPr>
              <w:spacing w:line="240" w:lineRule="auto"/>
              <w:contextualSpacing/>
            </w:pPr>
          </w:p>
        </w:tc>
      </w:tr>
      <w:tr w:rsidR="00040C3B" w:rsidRPr="0077771B" w14:paraId="319BFBA3" w14:textId="77777777" w:rsidTr="0034014D">
        <w:tc>
          <w:tcPr>
            <w:tcW w:w="2694" w:type="dxa"/>
          </w:tcPr>
          <w:p w14:paraId="2C76F8A3" w14:textId="77777777" w:rsidR="00040C3B" w:rsidRDefault="00040C3B" w:rsidP="0034014D">
            <w:pPr>
              <w:spacing w:line="240" w:lineRule="auto"/>
              <w:contextualSpacing/>
              <w:rPr>
                <w:b/>
              </w:rPr>
            </w:pPr>
            <w:r>
              <w:rPr>
                <w:b/>
              </w:rPr>
              <w:t>IS THIS STUDY CURRENTLY A MULTICENTRE STUDY? (I.E. INVOLVEMENT OF MORE THAN ONE HEALTH SERVICES OR JURISDICTION)</w:t>
            </w:r>
          </w:p>
        </w:tc>
        <w:tc>
          <w:tcPr>
            <w:tcW w:w="7371" w:type="dxa"/>
          </w:tcPr>
          <w:p w14:paraId="6B2D4739" w14:textId="77777777" w:rsidR="00040C3B" w:rsidRPr="00093CE1" w:rsidRDefault="00040C3B" w:rsidP="0034014D">
            <w:pPr>
              <w:spacing w:line="240" w:lineRule="auto"/>
              <w:contextualSpacing/>
              <w:rPr>
                <w:b/>
                <w:bCs/>
              </w:rPr>
            </w:pPr>
            <w:r w:rsidRPr="00093CE1">
              <w:rPr>
                <w:b/>
                <w:bCs/>
              </w:rPr>
              <w:t>YES</w:t>
            </w:r>
          </w:p>
          <w:p w14:paraId="431256E2" w14:textId="7929F2FA" w:rsidR="00040C3B" w:rsidRPr="000324A0" w:rsidRDefault="00040C3B" w:rsidP="0034014D">
            <w:pPr>
              <w:spacing w:line="240" w:lineRule="auto"/>
              <w:contextualSpacing/>
            </w:pPr>
          </w:p>
        </w:tc>
      </w:tr>
      <w:tr w:rsidR="00040C3B" w:rsidRPr="0077771B" w14:paraId="240101A1" w14:textId="77777777" w:rsidTr="0034014D">
        <w:tc>
          <w:tcPr>
            <w:tcW w:w="2694" w:type="dxa"/>
          </w:tcPr>
          <w:p w14:paraId="48116665" w14:textId="77777777" w:rsidR="00040C3B" w:rsidRDefault="00040C3B" w:rsidP="0034014D">
            <w:pPr>
              <w:spacing w:line="240" w:lineRule="auto"/>
              <w:contextualSpacing/>
              <w:rPr>
                <w:b/>
              </w:rPr>
            </w:pPr>
            <w:r>
              <w:rPr>
                <w:b/>
              </w:rPr>
              <w:t>ARE YOU LOOKING FOR OPPORTUNITIES FOR MULTICENTRE COLLABORATION?</w:t>
            </w:r>
          </w:p>
        </w:tc>
        <w:tc>
          <w:tcPr>
            <w:tcW w:w="7371" w:type="dxa"/>
          </w:tcPr>
          <w:p w14:paraId="22A820B8" w14:textId="0004F244" w:rsidR="00040C3B" w:rsidRPr="00653724" w:rsidRDefault="00040C3B" w:rsidP="0034014D">
            <w:pPr>
              <w:spacing w:line="240" w:lineRule="auto"/>
              <w:contextualSpacing/>
            </w:pPr>
            <w:r>
              <w:rPr>
                <w:b/>
                <w:bCs/>
              </w:rPr>
              <w:t>NO</w:t>
            </w:r>
            <w:r w:rsidR="00653724">
              <w:rPr>
                <w:b/>
                <w:bCs/>
              </w:rPr>
              <w:t xml:space="preserve"> – </w:t>
            </w:r>
            <w:r w:rsidR="00653724">
              <w:t>have already approached most centres around Victoria</w:t>
            </w:r>
          </w:p>
          <w:p w14:paraId="26FBFF7F" w14:textId="77777777" w:rsidR="00040C3B" w:rsidRDefault="00040C3B" w:rsidP="0034014D">
            <w:pPr>
              <w:spacing w:line="240" w:lineRule="auto"/>
              <w:contextualSpacing/>
              <w:rPr>
                <w:b/>
                <w:bCs/>
              </w:rPr>
            </w:pPr>
          </w:p>
          <w:p w14:paraId="2C857E02" w14:textId="77777777" w:rsidR="00040C3B" w:rsidRDefault="00040C3B" w:rsidP="0034014D">
            <w:pPr>
              <w:spacing w:line="240" w:lineRule="auto"/>
              <w:contextualSpacing/>
              <w:rPr>
                <w:b/>
                <w:bCs/>
              </w:rPr>
            </w:pPr>
          </w:p>
          <w:p w14:paraId="183FE886" w14:textId="77777777" w:rsidR="00040C3B" w:rsidRDefault="00040C3B" w:rsidP="0034014D">
            <w:pPr>
              <w:spacing w:line="240" w:lineRule="auto"/>
              <w:contextualSpacing/>
              <w:rPr>
                <w:b/>
                <w:bCs/>
              </w:rPr>
            </w:pPr>
          </w:p>
          <w:p w14:paraId="66C80F54" w14:textId="77777777" w:rsidR="00040C3B" w:rsidRPr="00093CE1" w:rsidRDefault="00040C3B" w:rsidP="0034014D">
            <w:pPr>
              <w:spacing w:line="240" w:lineRule="auto"/>
              <w:contextualSpacing/>
              <w:rPr>
                <w:b/>
                <w:bCs/>
              </w:rPr>
            </w:pPr>
          </w:p>
        </w:tc>
      </w:tr>
      <w:tr w:rsidR="00040C3B" w:rsidRPr="0077771B" w14:paraId="732BB094" w14:textId="77777777" w:rsidTr="0034014D">
        <w:tc>
          <w:tcPr>
            <w:tcW w:w="2694" w:type="dxa"/>
          </w:tcPr>
          <w:p w14:paraId="55A8377B" w14:textId="77777777" w:rsidR="00040C3B" w:rsidRDefault="00040C3B" w:rsidP="0034014D">
            <w:pPr>
              <w:spacing w:line="240" w:lineRule="auto"/>
              <w:contextualSpacing/>
              <w:rPr>
                <w:b/>
              </w:rPr>
            </w:pPr>
            <w:r>
              <w:rPr>
                <w:b/>
              </w:rPr>
              <w:t>IF ‘YES’ TO QUESTION ABOVE, CAN INTERESTED COLLABORATORS CONTACT YOU DIRECTLY?</w:t>
            </w:r>
          </w:p>
          <w:p w14:paraId="31655A27" w14:textId="77777777" w:rsidR="00040C3B" w:rsidRDefault="00040C3B" w:rsidP="0034014D">
            <w:pPr>
              <w:spacing w:line="240" w:lineRule="auto"/>
              <w:contextualSpacing/>
              <w:rPr>
                <w:b/>
              </w:rPr>
            </w:pPr>
          </w:p>
        </w:tc>
        <w:tc>
          <w:tcPr>
            <w:tcW w:w="7371" w:type="dxa"/>
          </w:tcPr>
          <w:p w14:paraId="773B6A10" w14:textId="531889B6" w:rsidR="00040C3B" w:rsidRDefault="00653724" w:rsidP="0034014D">
            <w:pPr>
              <w:spacing w:line="240" w:lineRule="auto"/>
              <w:contextualSpacing/>
              <w:rPr>
                <w:b/>
                <w:bCs/>
              </w:rPr>
            </w:pPr>
            <w:r>
              <w:rPr>
                <w:b/>
                <w:bCs/>
              </w:rPr>
              <w:t>N/A</w:t>
            </w:r>
          </w:p>
          <w:p w14:paraId="3D60DA74" w14:textId="77777777" w:rsidR="00040C3B" w:rsidRDefault="00040C3B" w:rsidP="0034014D">
            <w:pPr>
              <w:spacing w:line="240" w:lineRule="auto"/>
              <w:contextualSpacing/>
              <w:rPr>
                <w:b/>
                <w:bCs/>
              </w:rPr>
            </w:pPr>
          </w:p>
          <w:p w14:paraId="47A96AAF" w14:textId="77777777" w:rsidR="00040C3B" w:rsidRDefault="00040C3B" w:rsidP="0034014D">
            <w:pPr>
              <w:spacing w:line="240" w:lineRule="auto"/>
              <w:contextualSpacing/>
              <w:rPr>
                <w:b/>
                <w:bCs/>
              </w:rPr>
            </w:pPr>
          </w:p>
          <w:p w14:paraId="496E8D8C" w14:textId="77777777" w:rsidR="00040C3B" w:rsidRDefault="00040C3B" w:rsidP="0034014D">
            <w:pPr>
              <w:spacing w:line="240" w:lineRule="auto"/>
              <w:contextualSpacing/>
              <w:rPr>
                <w:b/>
                <w:bCs/>
              </w:rPr>
            </w:pPr>
          </w:p>
          <w:p w14:paraId="313902C3" w14:textId="77777777" w:rsidR="00040C3B" w:rsidRDefault="00040C3B" w:rsidP="0034014D">
            <w:pPr>
              <w:spacing w:line="240" w:lineRule="auto"/>
              <w:contextualSpacing/>
              <w:rPr>
                <w:b/>
                <w:bCs/>
              </w:rPr>
            </w:pPr>
          </w:p>
        </w:tc>
      </w:tr>
      <w:tr w:rsidR="00040C3B" w:rsidRPr="0077771B" w14:paraId="1F2DB2BB" w14:textId="77777777" w:rsidTr="0034014D">
        <w:tc>
          <w:tcPr>
            <w:tcW w:w="2694" w:type="dxa"/>
          </w:tcPr>
          <w:p w14:paraId="6E221161" w14:textId="77777777" w:rsidR="00040C3B" w:rsidRPr="000324A0" w:rsidRDefault="00040C3B" w:rsidP="0034014D">
            <w:pPr>
              <w:spacing w:line="240" w:lineRule="auto"/>
              <w:contextualSpacing/>
              <w:rPr>
                <w:b/>
              </w:rPr>
            </w:pPr>
            <w:r w:rsidRPr="000324A0">
              <w:rPr>
                <w:b/>
              </w:rPr>
              <w:t>BACKGROUND</w:t>
            </w:r>
          </w:p>
        </w:tc>
        <w:tc>
          <w:tcPr>
            <w:tcW w:w="7371" w:type="dxa"/>
          </w:tcPr>
          <w:p w14:paraId="3D5BFCC2" w14:textId="77777777" w:rsidR="00653724" w:rsidRDefault="00653724" w:rsidP="00653724">
            <w:pPr>
              <w:jc w:val="both"/>
              <w:rPr>
                <w:rFonts w:eastAsiaTheme="minorEastAsia" w:cstheme="minorHAnsi"/>
              </w:rPr>
            </w:pPr>
            <w:r w:rsidRPr="00F312FB">
              <w:rPr>
                <w:rFonts w:eastAsiaTheme="minorEastAsia" w:cstheme="minorHAnsi"/>
                <w:color w:val="000000" w:themeColor="text1"/>
              </w:rPr>
              <w:t xml:space="preserve">Increasing numbers of elderly co-morbid patients undergoing complex surgical procedures means </w:t>
            </w:r>
            <w:r>
              <w:rPr>
                <w:rFonts w:eastAsiaTheme="minorEastAsia" w:cstheme="minorHAnsi"/>
                <w:color w:val="000000" w:themeColor="text1"/>
              </w:rPr>
              <w:t xml:space="preserve">a multidisciplinary collaborative approach to perioperative </w:t>
            </w:r>
            <w:r>
              <w:rPr>
                <w:rFonts w:eastAsiaTheme="minorEastAsia" w:cstheme="minorHAnsi"/>
                <w:color w:val="000000" w:themeColor="text1"/>
              </w:rPr>
              <w:lastRenderedPageBreak/>
              <w:t>patient care has become a necessity, with general physicians playing an integral role in this process (1-3)</w:t>
            </w:r>
            <w:r w:rsidRPr="00F312FB">
              <w:rPr>
                <w:rFonts w:eastAsiaTheme="minorEastAsia" w:cstheme="minorHAnsi"/>
                <w:color w:val="000000" w:themeColor="text1"/>
              </w:rPr>
              <w:t>.</w:t>
            </w:r>
            <w:r>
              <w:rPr>
                <w:rFonts w:eastAsiaTheme="minorEastAsia" w:cstheme="minorHAnsi"/>
                <w:color w:val="000000" w:themeColor="text1"/>
              </w:rPr>
              <w:t xml:space="preserve"> </w:t>
            </w:r>
            <w:r w:rsidRPr="00F312FB">
              <w:rPr>
                <w:rFonts w:eastAsiaTheme="minorEastAsia" w:cstheme="minorHAnsi"/>
                <w:color w:val="000000" w:themeColor="text1"/>
              </w:rPr>
              <w:t>The Australia and New Zealand College of Anaesthetists (ANZCA), in partnership with other specialist colleges and societies, has developed a perioperative care framework, which calls for a multidisciplinary, multispecialty team approach to provide comprehensive care of a perioperative patient</w:t>
            </w:r>
            <w:r>
              <w:rPr>
                <w:rFonts w:eastAsiaTheme="minorEastAsia" w:cstheme="minorHAnsi"/>
                <w:color w:val="000000" w:themeColor="text1"/>
              </w:rPr>
              <w:t xml:space="preserve"> (1)</w:t>
            </w:r>
            <w:r w:rsidRPr="00F312FB">
              <w:rPr>
                <w:rFonts w:eastAsiaTheme="minorEastAsia" w:cstheme="minorHAnsi"/>
                <w:color w:val="000000" w:themeColor="text1"/>
              </w:rPr>
              <w:t xml:space="preserve">. </w:t>
            </w:r>
            <w:r w:rsidRPr="00F312FB">
              <w:rPr>
                <w:rFonts w:eastAsiaTheme="minorEastAsia" w:cstheme="minorHAnsi"/>
              </w:rPr>
              <w:t>Within shared-care or integrated models of perioperative consultation, several studies have highlighted the value of general physicians as a specialist group in lowering the risk of post-operative complications and adverse outcomes and reducing length of acute stay which led to greater patient satisfaction and reduced healthcare costs</w:t>
            </w:r>
            <w:r>
              <w:rPr>
                <w:rFonts w:eastAsiaTheme="minorEastAsia" w:cstheme="minorHAnsi"/>
              </w:rPr>
              <w:t xml:space="preserve"> (2-5)</w:t>
            </w:r>
            <w:r w:rsidRPr="00F312FB">
              <w:rPr>
                <w:rFonts w:eastAsiaTheme="minorEastAsia" w:cstheme="minorHAnsi"/>
              </w:rPr>
              <w:t>.</w:t>
            </w:r>
          </w:p>
          <w:p w14:paraId="0CFC79BE" w14:textId="77777777" w:rsidR="00653724" w:rsidRPr="00703127" w:rsidRDefault="00653724" w:rsidP="00653724">
            <w:pPr>
              <w:jc w:val="both"/>
              <w:rPr>
                <w:rFonts w:eastAsiaTheme="minorEastAsia" w:cstheme="minorHAnsi"/>
              </w:rPr>
            </w:pPr>
            <w:r>
              <w:rPr>
                <w:rFonts w:eastAsiaTheme="minorEastAsia" w:cstheme="minorHAnsi"/>
              </w:rPr>
              <w:t>Despite the calls for greater collaboration in perioperative care, a</w:t>
            </w:r>
            <w:r w:rsidRPr="00F312FB">
              <w:rPr>
                <w:rFonts w:eastAsiaTheme="minorEastAsia" w:cstheme="minorHAnsi"/>
              </w:rPr>
              <w:t>necdotally, majority of general medicine perioperative services across Australia operate in ‘traditional’ model</w:t>
            </w:r>
            <w:r>
              <w:rPr>
                <w:rFonts w:eastAsiaTheme="minorEastAsia" w:cstheme="minorHAnsi"/>
              </w:rPr>
              <w:t>s</w:t>
            </w:r>
            <w:r w:rsidRPr="00F312FB">
              <w:rPr>
                <w:rFonts w:eastAsiaTheme="minorEastAsia" w:cstheme="minorHAnsi"/>
              </w:rPr>
              <w:t>, whereby referrals from surgical units are re</w:t>
            </w:r>
            <w:r>
              <w:rPr>
                <w:rFonts w:eastAsiaTheme="minorEastAsia" w:cstheme="minorHAnsi"/>
              </w:rPr>
              <w:t>ceived</w:t>
            </w:r>
            <w:r w:rsidRPr="00F312FB">
              <w:rPr>
                <w:rFonts w:eastAsiaTheme="minorEastAsia" w:cstheme="minorHAnsi"/>
              </w:rPr>
              <w:t xml:space="preserve"> on an ad hoc basis, often to </w:t>
            </w:r>
            <w:r>
              <w:rPr>
                <w:rFonts w:eastAsiaTheme="minorEastAsia" w:cstheme="minorHAnsi"/>
              </w:rPr>
              <w:t>‘</w:t>
            </w:r>
            <w:r w:rsidRPr="00F312FB">
              <w:rPr>
                <w:rFonts w:eastAsiaTheme="minorEastAsia" w:cstheme="minorHAnsi"/>
              </w:rPr>
              <w:t>optimise</w:t>
            </w:r>
            <w:r>
              <w:rPr>
                <w:rFonts w:eastAsiaTheme="minorEastAsia" w:cstheme="minorHAnsi"/>
              </w:rPr>
              <w:t>’</w:t>
            </w:r>
            <w:r w:rsidRPr="00F312FB">
              <w:rPr>
                <w:rFonts w:eastAsiaTheme="minorEastAsia" w:cstheme="minorHAnsi"/>
              </w:rPr>
              <w:t xml:space="preserve"> medical co-morbidities </w:t>
            </w:r>
            <w:r>
              <w:rPr>
                <w:rFonts w:eastAsiaTheme="minorEastAsia" w:cstheme="minorHAnsi"/>
              </w:rPr>
              <w:t>before emergency procedures</w:t>
            </w:r>
            <w:r w:rsidRPr="00F312FB">
              <w:rPr>
                <w:rFonts w:eastAsiaTheme="minorEastAsia" w:cstheme="minorHAnsi"/>
              </w:rPr>
              <w:t xml:space="preserve">, to mitigate post-operative complications, or </w:t>
            </w:r>
            <w:r>
              <w:rPr>
                <w:rFonts w:eastAsiaTheme="minorEastAsia" w:cstheme="minorHAnsi"/>
              </w:rPr>
              <w:t xml:space="preserve">address </w:t>
            </w:r>
            <w:r w:rsidRPr="00F312FB">
              <w:rPr>
                <w:rFonts w:eastAsiaTheme="minorEastAsia" w:cstheme="minorHAnsi"/>
              </w:rPr>
              <w:t>other emerging medical issues.</w:t>
            </w:r>
            <w:r>
              <w:rPr>
                <w:rFonts w:eastAsiaTheme="minorEastAsia" w:cstheme="minorHAnsi"/>
              </w:rPr>
              <w:t xml:space="preserve"> Additionally, consultation requests may be made for non-operative patients admitted under surgical units. These models offer limited opportunities to proactively identify patients who are at high-risk for perioperative complications and institute appropriate management strategies in a timely manner. Additionally, the silo-ed approach also means there are limited opportunities for close collaboration with other disciplines. </w:t>
            </w:r>
          </w:p>
          <w:p w14:paraId="1B6FBFC3" w14:textId="77777777" w:rsidR="00040C3B" w:rsidRDefault="00653724" w:rsidP="00653724">
            <w:pPr>
              <w:jc w:val="both"/>
              <w:rPr>
                <w:rFonts w:eastAsiaTheme="minorEastAsia" w:cstheme="minorHAnsi"/>
              </w:rPr>
            </w:pPr>
            <w:r>
              <w:rPr>
                <w:rFonts w:ascii="Calibri" w:hAnsi="Calibri" w:cs="Calibri"/>
              </w:rPr>
              <w:t xml:space="preserve">In Victoria, attempts have been made to estimate the contribution of general medicine to various aspects of public hospital care (6). Despite the local and international studies highlighting the important role of general medicine in multiple facets of patient care within health services, limited number of Australian studies have specifically evaluated the involvement of general medicine in perioperative care (7). </w:t>
            </w:r>
            <w:r w:rsidRPr="00F312FB">
              <w:rPr>
                <w:rFonts w:eastAsiaTheme="minorEastAsia" w:cstheme="minorHAnsi"/>
              </w:rPr>
              <w:t>To achieve a more collaborative ‘proactive’ approach as outlined by the ANZCA perioperative care framework, it is important to better understand the current state of perioperative work undertaken by the general physicians</w:t>
            </w:r>
            <w:r>
              <w:rPr>
                <w:rFonts w:eastAsiaTheme="minorEastAsia" w:cstheme="minorHAnsi"/>
              </w:rPr>
              <w:t xml:space="preserve"> in acute hospital settings</w:t>
            </w:r>
            <w:r w:rsidRPr="00F312FB">
              <w:rPr>
                <w:rFonts w:eastAsiaTheme="minorEastAsia" w:cstheme="minorHAnsi"/>
              </w:rPr>
              <w:t>.</w:t>
            </w:r>
            <w:r>
              <w:rPr>
                <w:rFonts w:eastAsiaTheme="minorEastAsia" w:cstheme="minorHAnsi"/>
              </w:rPr>
              <w:t xml:space="preserve"> Such data will not only help understand the patterns, characteristics and outcomes of referrals but also understand the critical services gaps and opportunities for improvement. </w:t>
            </w:r>
          </w:p>
          <w:p w14:paraId="4ACD434E" w14:textId="77777777" w:rsidR="0043108B" w:rsidRDefault="0043108B" w:rsidP="00653724">
            <w:pPr>
              <w:jc w:val="both"/>
              <w:rPr>
                <w:rFonts w:eastAsiaTheme="minorEastAsia" w:cstheme="minorHAnsi"/>
              </w:rPr>
            </w:pPr>
            <w:r>
              <w:rPr>
                <w:rFonts w:eastAsiaTheme="minorEastAsia" w:cstheme="minorHAnsi"/>
              </w:rPr>
              <w:t>References:</w:t>
            </w:r>
          </w:p>
          <w:p w14:paraId="3F9BF196" w14:textId="77777777" w:rsidR="0043108B" w:rsidRPr="00B87A96" w:rsidRDefault="0043108B" w:rsidP="0043108B">
            <w:pPr>
              <w:pStyle w:val="ListParagraph"/>
              <w:numPr>
                <w:ilvl w:val="0"/>
                <w:numId w:val="7"/>
              </w:numPr>
              <w:jc w:val="both"/>
              <w:rPr>
                <w:rFonts w:eastAsiaTheme="minorEastAsia" w:cstheme="minorHAnsi"/>
              </w:rPr>
            </w:pPr>
            <w:r w:rsidRPr="00B87A96">
              <w:rPr>
                <w:rFonts w:eastAsiaTheme="minorEastAsia" w:cstheme="minorHAnsi"/>
              </w:rPr>
              <w:t xml:space="preserve">Fernando J, Burstow M, Gray H, Thorne K, Cox M, MacDonald K, et al. The Perioperative Care Framework [Internet]. Our Perioperative Care Framework. ANZCA; 2021 [cited 2023Mar9]. Available from: https://www.anzca.edu.au/safety-advocacy/standards-of-practice/the-perioperative-care-framework </w:t>
            </w:r>
          </w:p>
          <w:p w14:paraId="5C8FD0B2" w14:textId="77777777" w:rsidR="0043108B" w:rsidRPr="00B87A96" w:rsidRDefault="0043108B" w:rsidP="0043108B">
            <w:pPr>
              <w:pStyle w:val="ListParagraph"/>
              <w:numPr>
                <w:ilvl w:val="0"/>
                <w:numId w:val="7"/>
              </w:numPr>
              <w:jc w:val="both"/>
              <w:rPr>
                <w:rFonts w:eastAsiaTheme="minorEastAsia" w:cstheme="minorHAnsi"/>
              </w:rPr>
            </w:pPr>
            <w:r w:rsidRPr="00B87A96">
              <w:rPr>
                <w:rFonts w:eastAsiaTheme="minorEastAsia" w:cstheme="minorHAnsi"/>
              </w:rPr>
              <w:t xml:space="preserve">Hammersley M, Jones H, Singh S, Stratton I, Silva M. Can a perioperative physician improve care and reduce length of stay in a surgical emergency admission unit? Clin Med. 2015 Jun 1;15(Suppl 3):s22–s22. </w:t>
            </w:r>
          </w:p>
          <w:p w14:paraId="14462844" w14:textId="77777777" w:rsidR="0043108B" w:rsidRPr="00B87A96" w:rsidRDefault="0043108B" w:rsidP="0043108B">
            <w:pPr>
              <w:pStyle w:val="ListParagraph"/>
              <w:numPr>
                <w:ilvl w:val="0"/>
                <w:numId w:val="7"/>
              </w:numPr>
              <w:jc w:val="both"/>
              <w:rPr>
                <w:rFonts w:eastAsiaTheme="minorEastAsia" w:cstheme="minorHAnsi"/>
              </w:rPr>
            </w:pPr>
            <w:r w:rsidRPr="00B87A96">
              <w:rPr>
                <w:rFonts w:eastAsiaTheme="minorEastAsia" w:cstheme="minorHAnsi"/>
              </w:rPr>
              <w:t xml:space="preserve">Centre for Perioperative Care. Impact of perioperative care on healthcare resource use. CPOC; 2020. </w:t>
            </w:r>
          </w:p>
          <w:p w14:paraId="628365E2" w14:textId="77777777" w:rsidR="0043108B" w:rsidRPr="00B87A96" w:rsidRDefault="0043108B" w:rsidP="0043108B">
            <w:pPr>
              <w:pStyle w:val="ListParagraph"/>
              <w:numPr>
                <w:ilvl w:val="0"/>
                <w:numId w:val="7"/>
              </w:numPr>
              <w:jc w:val="both"/>
              <w:rPr>
                <w:rFonts w:eastAsiaTheme="minorEastAsia" w:cstheme="minorHAnsi"/>
              </w:rPr>
            </w:pPr>
            <w:r w:rsidRPr="0053517E">
              <w:rPr>
                <w:rFonts w:eastAsiaTheme="minorEastAsia" w:cstheme="minorHAnsi"/>
                <w:lang w:val="sv-SE"/>
              </w:rPr>
              <w:lastRenderedPageBreak/>
              <w:t xml:space="preserve">McEvoy MD, Wanderer JP, King AB, Geiger TM, Tiwari V, Terekhov M, et al. </w:t>
            </w:r>
            <w:r w:rsidRPr="00B87A96">
              <w:rPr>
                <w:rFonts w:eastAsiaTheme="minorEastAsia" w:cstheme="minorHAnsi"/>
              </w:rPr>
              <w:t xml:space="preserve">A perioperative consult service results in reduction in cost and length of stay for colorectal surgical patients: evidence from a healthcare redesign project. Perioper Med. 2016 Dec;5(1):3. </w:t>
            </w:r>
          </w:p>
          <w:p w14:paraId="65E87D3F" w14:textId="77777777" w:rsidR="0043108B" w:rsidRPr="00B87A96" w:rsidRDefault="0043108B" w:rsidP="0043108B">
            <w:pPr>
              <w:pStyle w:val="ListParagraph"/>
              <w:numPr>
                <w:ilvl w:val="0"/>
                <w:numId w:val="7"/>
              </w:numPr>
              <w:jc w:val="both"/>
              <w:rPr>
                <w:rFonts w:eastAsiaTheme="minorEastAsia" w:cstheme="minorHAnsi"/>
              </w:rPr>
            </w:pPr>
            <w:r w:rsidRPr="00B87A96">
              <w:rPr>
                <w:rFonts w:eastAsiaTheme="minorEastAsia" w:cstheme="minorHAnsi"/>
              </w:rPr>
              <w:t>Gordon AL, Evans BJ, Dhesi J. The physician’s role in perioperative management of older patients undergoing surgery. Clin Med. 2017 Aug;17(4):357–9.</w:t>
            </w:r>
          </w:p>
          <w:p w14:paraId="2319B42D" w14:textId="77777777" w:rsidR="0043108B" w:rsidRPr="00B87A96" w:rsidRDefault="0043108B" w:rsidP="0043108B">
            <w:pPr>
              <w:pStyle w:val="ListParagraph"/>
              <w:numPr>
                <w:ilvl w:val="0"/>
                <w:numId w:val="7"/>
              </w:numPr>
              <w:jc w:val="both"/>
              <w:rPr>
                <w:rFonts w:eastAsiaTheme="minorEastAsia" w:cstheme="minorHAnsi"/>
              </w:rPr>
            </w:pPr>
            <w:r w:rsidRPr="00B87A96">
              <w:rPr>
                <w:rFonts w:eastAsiaTheme="minorEastAsia" w:cstheme="minorHAnsi"/>
              </w:rPr>
              <w:t>Gorman AC, Newnham HH, Potter EL, Busija L, Aung AK. Understanding the contribution of general medical services to acute inpatient care in Victorian public hospitals. Intern Med J. 2022 Dec;doi:10.1111/imj.15994.</w:t>
            </w:r>
          </w:p>
          <w:p w14:paraId="60C275CA" w14:textId="60004016" w:rsidR="0043108B" w:rsidRPr="0043108B" w:rsidRDefault="0043108B" w:rsidP="00653724">
            <w:pPr>
              <w:pStyle w:val="ListParagraph"/>
              <w:numPr>
                <w:ilvl w:val="0"/>
                <w:numId w:val="7"/>
              </w:numPr>
              <w:jc w:val="both"/>
              <w:rPr>
                <w:rFonts w:eastAsiaTheme="minorEastAsia" w:cstheme="minorHAnsi"/>
              </w:rPr>
            </w:pPr>
            <w:r w:rsidRPr="00B87A96">
              <w:rPr>
                <w:rFonts w:eastAsiaTheme="minorEastAsia" w:cstheme="minorHAnsi"/>
              </w:rPr>
              <w:t>Tam A, Leung A, O’Callaghan C, Fagermo N. Role of telehealth in perioperative medicine for regional and rural patients in Queensland: Telehealth in perioperative medicine. Intern Med J. 2017 Aug;47(8):933</w:t>
            </w:r>
            <w:r>
              <w:rPr>
                <w:rFonts w:eastAsiaTheme="minorEastAsia" w:cstheme="minorHAnsi"/>
              </w:rPr>
              <w:t>.</w:t>
            </w:r>
          </w:p>
        </w:tc>
      </w:tr>
      <w:tr w:rsidR="00040C3B" w:rsidRPr="0077771B" w14:paraId="0D77817B" w14:textId="77777777" w:rsidTr="0034014D">
        <w:tc>
          <w:tcPr>
            <w:tcW w:w="2694" w:type="dxa"/>
          </w:tcPr>
          <w:p w14:paraId="372E7C70" w14:textId="77777777" w:rsidR="00040C3B" w:rsidRPr="000324A0" w:rsidRDefault="00040C3B" w:rsidP="0034014D">
            <w:pPr>
              <w:spacing w:line="240" w:lineRule="auto"/>
              <w:contextualSpacing/>
              <w:rPr>
                <w:b/>
              </w:rPr>
            </w:pPr>
            <w:r>
              <w:rPr>
                <w:b/>
              </w:rPr>
              <w:lastRenderedPageBreak/>
              <w:t>RESEARCH QUESTION/HYPOTHESIS</w:t>
            </w:r>
          </w:p>
        </w:tc>
        <w:tc>
          <w:tcPr>
            <w:tcW w:w="7371" w:type="dxa"/>
          </w:tcPr>
          <w:p w14:paraId="37CD97A3" w14:textId="77777777" w:rsidR="00653724" w:rsidRDefault="00653724" w:rsidP="00653724">
            <w:pPr>
              <w:spacing w:after="0" w:line="240" w:lineRule="auto"/>
              <w:jc w:val="both"/>
              <w:rPr>
                <w:rFonts w:eastAsiaTheme="minorEastAsia" w:cstheme="minorHAnsi"/>
              </w:rPr>
            </w:pPr>
            <w:r>
              <w:rPr>
                <w:rFonts w:eastAsiaTheme="minorEastAsia" w:cstheme="minorHAnsi"/>
              </w:rPr>
              <w:t xml:space="preserve">The main objectives of this multicentre observational study are to: </w:t>
            </w:r>
          </w:p>
          <w:p w14:paraId="653F2400" w14:textId="77777777" w:rsidR="00653724" w:rsidRDefault="00653724" w:rsidP="00653724">
            <w:pPr>
              <w:spacing w:after="0" w:line="240" w:lineRule="auto"/>
              <w:jc w:val="both"/>
              <w:rPr>
                <w:rFonts w:eastAsiaTheme="minorEastAsia" w:cstheme="minorHAnsi"/>
              </w:rPr>
            </w:pPr>
            <w:r>
              <w:rPr>
                <w:rFonts w:eastAsiaTheme="minorEastAsia" w:cstheme="minorHAnsi"/>
              </w:rPr>
              <w:t>(1) describe the models of perioperative care utilised by various health services in the state of Victoria,</w:t>
            </w:r>
          </w:p>
          <w:p w14:paraId="42550165" w14:textId="77777777" w:rsidR="00653724" w:rsidRDefault="00653724" w:rsidP="00653724">
            <w:pPr>
              <w:spacing w:after="0" w:line="240" w:lineRule="auto"/>
              <w:jc w:val="both"/>
              <w:rPr>
                <w:rFonts w:eastAsiaTheme="minorEastAsia" w:cstheme="minorHAnsi"/>
              </w:rPr>
            </w:pPr>
            <w:r>
              <w:rPr>
                <w:rFonts w:eastAsiaTheme="minorEastAsia" w:cstheme="minorHAnsi"/>
              </w:rPr>
              <w:t xml:space="preserve">(2) estimate the frequency of perioperative referrals made to general medical services over time, </w:t>
            </w:r>
          </w:p>
          <w:p w14:paraId="52236106" w14:textId="77777777" w:rsidR="00653724" w:rsidRDefault="00653724" w:rsidP="00653724">
            <w:pPr>
              <w:spacing w:after="0" w:line="240" w:lineRule="auto"/>
              <w:jc w:val="both"/>
              <w:rPr>
                <w:rFonts w:eastAsiaTheme="minorEastAsia" w:cstheme="minorHAnsi"/>
              </w:rPr>
            </w:pPr>
            <w:r>
              <w:rPr>
                <w:rFonts w:eastAsiaTheme="minorEastAsia" w:cstheme="minorHAnsi"/>
              </w:rPr>
              <w:t xml:space="preserve">(3) evaluate the sources of perioperative referrals, </w:t>
            </w:r>
          </w:p>
          <w:p w14:paraId="324DFB26" w14:textId="77777777" w:rsidR="00653724" w:rsidRDefault="00653724" w:rsidP="00653724">
            <w:pPr>
              <w:spacing w:after="0" w:line="240" w:lineRule="auto"/>
              <w:jc w:val="both"/>
              <w:rPr>
                <w:rFonts w:eastAsiaTheme="minorEastAsia" w:cstheme="minorHAnsi"/>
              </w:rPr>
            </w:pPr>
            <w:r>
              <w:rPr>
                <w:rFonts w:eastAsiaTheme="minorEastAsia" w:cstheme="minorHAnsi"/>
              </w:rPr>
              <w:t xml:space="preserve">(4) evaluate the characteristics of perioperative referrals and, </w:t>
            </w:r>
          </w:p>
          <w:p w14:paraId="28778D61" w14:textId="5D9709DF" w:rsidR="00040C3B" w:rsidRPr="00653724" w:rsidRDefault="00653724" w:rsidP="00653724">
            <w:pPr>
              <w:spacing w:after="0" w:line="240" w:lineRule="auto"/>
              <w:jc w:val="both"/>
              <w:rPr>
                <w:rFonts w:eastAsiaTheme="minorEastAsia" w:cstheme="minorHAnsi"/>
              </w:rPr>
            </w:pPr>
            <w:r>
              <w:rPr>
                <w:rFonts w:eastAsiaTheme="minorEastAsia" w:cstheme="minorHAnsi"/>
              </w:rPr>
              <w:t>(5) evaluate management outcomes</w:t>
            </w:r>
          </w:p>
        </w:tc>
      </w:tr>
      <w:tr w:rsidR="00040C3B" w:rsidRPr="0077771B" w14:paraId="265F6C89" w14:textId="77777777" w:rsidTr="0034014D">
        <w:tc>
          <w:tcPr>
            <w:tcW w:w="2694" w:type="dxa"/>
          </w:tcPr>
          <w:p w14:paraId="3CAF0AD9" w14:textId="77777777" w:rsidR="00040C3B" w:rsidRPr="000324A0" w:rsidRDefault="00040C3B" w:rsidP="0034014D">
            <w:pPr>
              <w:spacing w:line="240" w:lineRule="auto"/>
              <w:contextualSpacing/>
              <w:rPr>
                <w:b/>
              </w:rPr>
            </w:pPr>
            <w:r w:rsidRPr="000324A0">
              <w:br w:type="page"/>
            </w:r>
            <w:r w:rsidRPr="000324A0">
              <w:rPr>
                <w:b/>
              </w:rPr>
              <w:t>PRIMARY OUTCOME</w:t>
            </w:r>
            <w:r>
              <w:rPr>
                <w:b/>
              </w:rPr>
              <w:t xml:space="preserve">/PROCESS </w:t>
            </w:r>
            <w:r w:rsidRPr="000324A0">
              <w:rPr>
                <w:b/>
              </w:rPr>
              <w:t>MEASURE</w:t>
            </w:r>
          </w:p>
        </w:tc>
        <w:tc>
          <w:tcPr>
            <w:tcW w:w="7371" w:type="dxa"/>
          </w:tcPr>
          <w:p w14:paraId="73286245" w14:textId="77777777" w:rsidR="00653724" w:rsidRPr="0022349F" w:rsidRDefault="00040C3B" w:rsidP="00653724">
            <w:pPr>
              <w:ind w:firstLine="360"/>
              <w:jc w:val="both"/>
              <w:rPr>
                <w:rFonts w:eastAsiaTheme="minorEastAsia" w:cstheme="minorHAnsi"/>
                <w:u w:val="single"/>
              </w:rPr>
            </w:pPr>
            <w:r w:rsidRPr="000324A0">
              <w:t xml:space="preserve"> </w:t>
            </w:r>
            <w:r w:rsidR="00653724" w:rsidRPr="0022349F">
              <w:rPr>
                <w:rFonts w:eastAsiaTheme="minorEastAsia" w:cstheme="minorHAnsi"/>
                <w:u w:val="single"/>
              </w:rPr>
              <w:t>Models of care</w:t>
            </w:r>
          </w:p>
          <w:p w14:paraId="6F4ED578" w14:textId="77777777" w:rsidR="00653724" w:rsidRDefault="00653724" w:rsidP="00653724">
            <w:pPr>
              <w:pStyle w:val="ListParagraph"/>
              <w:numPr>
                <w:ilvl w:val="0"/>
                <w:numId w:val="1"/>
              </w:numPr>
              <w:jc w:val="both"/>
              <w:rPr>
                <w:rFonts w:eastAsiaTheme="minorEastAsia" w:cstheme="minorHAnsi"/>
              </w:rPr>
            </w:pPr>
            <w:r>
              <w:rPr>
                <w:rFonts w:eastAsiaTheme="minorEastAsia" w:cstheme="minorHAnsi"/>
              </w:rPr>
              <w:t>Description of perioperative model of care utilised by the general medical services</w:t>
            </w:r>
          </w:p>
          <w:p w14:paraId="55DB31C1" w14:textId="77777777" w:rsidR="00653724" w:rsidRPr="0022349F" w:rsidRDefault="00653724" w:rsidP="00653724">
            <w:pPr>
              <w:ind w:firstLine="360"/>
              <w:jc w:val="both"/>
              <w:rPr>
                <w:rFonts w:eastAsiaTheme="minorEastAsia" w:cstheme="minorHAnsi"/>
                <w:u w:val="single"/>
              </w:rPr>
            </w:pPr>
            <w:r w:rsidRPr="0022349F">
              <w:rPr>
                <w:rFonts w:eastAsiaTheme="minorEastAsia" w:cstheme="minorHAnsi"/>
                <w:u w:val="single"/>
              </w:rPr>
              <w:t>Frequency of perioperative referrals</w:t>
            </w:r>
          </w:p>
          <w:p w14:paraId="55109640" w14:textId="77777777" w:rsidR="00653724" w:rsidRDefault="00653724" w:rsidP="00653724">
            <w:pPr>
              <w:pStyle w:val="ListParagraph"/>
              <w:numPr>
                <w:ilvl w:val="0"/>
                <w:numId w:val="2"/>
              </w:numPr>
              <w:jc w:val="both"/>
              <w:rPr>
                <w:rFonts w:eastAsiaTheme="minorEastAsia" w:cstheme="minorHAnsi"/>
              </w:rPr>
            </w:pPr>
            <w:r>
              <w:rPr>
                <w:rFonts w:eastAsiaTheme="minorEastAsia" w:cstheme="minorHAnsi"/>
              </w:rPr>
              <w:t>Total number of referrals over 6 consecutive weeks</w:t>
            </w:r>
          </w:p>
          <w:p w14:paraId="387C45A4" w14:textId="77777777" w:rsidR="00653724" w:rsidRPr="0022349F" w:rsidRDefault="00653724" w:rsidP="00653724">
            <w:pPr>
              <w:ind w:firstLine="360"/>
              <w:jc w:val="both"/>
              <w:rPr>
                <w:rFonts w:eastAsiaTheme="minorEastAsia" w:cstheme="minorHAnsi"/>
                <w:u w:val="single"/>
              </w:rPr>
            </w:pPr>
            <w:r w:rsidRPr="0022349F">
              <w:rPr>
                <w:rFonts w:eastAsiaTheme="minorEastAsia" w:cstheme="minorHAnsi"/>
                <w:u w:val="single"/>
              </w:rPr>
              <w:t>Sources of perioperative referrals</w:t>
            </w:r>
          </w:p>
          <w:p w14:paraId="2567C2C2" w14:textId="77777777" w:rsidR="00653724" w:rsidRPr="00653724" w:rsidRDefault="00653724" w:rsidP="00653724">
            <w:pPr>
              <w:pStyle w:val="ListParagraph"/>
              <w:numPr>
                <w:ilvl w:val="0"/>
                <w:numId w:val="2"/>
              </w:numPr>
              <w:jc w:val="both"/>
              <w:rPr>
                <w:rFonts w:eastAsiaTheme="minorEastAsia" w:cstheme="minorHAnsi"/>
                <w:u w:val="single"/>
              </w:rPr>
            </w:pPr>
            <w:r>
              <w:rPr>
                <w:rFonts w:eastAsiaTheme="minorEastAsia" w:cstheme="minorHAnsi"/>
              </w:rPr>
              <w:t xml:space="preserve">Referring surgical units </w:t>
            </w:r>
          </w:p>
          <w:p w14:paraId="7F511AAA" w14:textId="4D5733B7" w:rsidR="00653724" w:rsidRPr="00653724" w:rsidRDefault="00653724" w:rsidP="00653724">
            <w:pPr>
              <w:ind w:left="360"/>
              <w:jc w:val="both"/>
              <w:rPr>
                <w:rFonts w:eastAsiaTheme="minorEastAsia" w:cstheme="minorHAnsi"/>
                <w:u w:val="single"/>
              </w:rPr>
            </w:pPr>
            <w:r w:rsidRPr="00653724">
              <w:rPr>
                <w:rFonts w:eastAsiaTheme="minorEastAsia" w:cstheme="minorHAnsi"/>
                <w:u w:val="single"/>
              </w:rPr>
              <w:t>Characteristics of perioperative referrals</w:t>
            </w:r>
          </w:p>
          <w:p w14:paraId="6B5BAED1" w14:textId="77777777" w:rsidR="00653724" w:rsidRDefault="00653724" w:rsidP="00653724">
            <w:pPr>
              <w:pStyle w:val="ListParagraph"/>
              <w:numPr>
                <w:ilvl w:val="0"/>
                <w:numId w:val="3"/>
              </w:numPr>
              <w:jc w:val="both"/>
              <w:rPr>
                <w:rFonts w:eastAsiaTheme="minorEastAsia" w:cstheme="minorHAnsi"/>
              </w:rPr>
            </w:pPr>
            <w:r>
              <w:rPr>
                <w:rFonts w:eastAsiaTheme="minorEastAsia" w:cstheme="minorHAnsi"/>
              </w:rPr>
              <w:t>Primary reasons for referrals (e.g. pre-op optimisation, post-op management, post METcall)</w:t>
            </w:r>
          </w:p>
          <w:p w14:paraId="374E8641" w14:textId="77777777" w:rsidR="00653724" w:rsidRDefault="00653724" w:rsidP="00653724">
            <w:pPr>
              <w:pStyle w:val="ListParagraph"/>
              <w:numPr>
                <w:ilvl w:val="0"/>
                <w:numId w:val="3"/>
              </w:numPr>
              <w:jc w:val="both"/>
              <w:rPr>
                <w:rFonts w:eastAsiaTheme="minorEastAsia" w:cstheme="minorHAnsi"/>
              </w:rPr>
            </w:pPr>
            <w:r>
              <w:rPr>
                <w:rFonts w:eastAsiaTheme="minorEastAsia" w:cstheme="minorHAnsi"/>
              </w:rPr>
              <w:t>Primary areas of medical input (e.g. electrolyte management, cardiac dysfunction)</w:t>
            </w:r>
          </w:p>
          <w:p w14:paraId="5A814F0B" w14:textId="77777777" w:rsidR="00653724" w:rsidRDefault="00653724" w:rsidP="00653724">
            <w:pPr>
              <w:pStyle w:val="ListParagraph"/>
              <w:numPr>
                <w:ilvl w:val="0"/>
                <w:numId w:val="3"/>
              </w:numPr>
              <w:jc w:val="both"/>
              <w:rPr>
                <w:rFonts w:eastAsiaTheme="minorEastAsia" w:cstheme="minorHAnsi"/>
              </w:rPr>
            </w:pPr>
            <w:r>
              <w:rPr>
                <w:rFonts w:eastAsiaTheme="minorEastAsia" w:cstheme="minorHAnsi"/>
              </w:rPr>
              <w:t>Operative state at the time of referral (pre-op, post-op, no-op, inbetween scheduled ops)</w:t>
            </w:r>
          </w:p>
          <w:p w14:paraId="2DC23443" w14:textId="77777777" w:rsidR="00653724" w:rsidRDefault="00653724" w:rsidP="00653724">
            <w:pPr>
              <w:pStyle w:val="ListParagraph"/>
              <w:numPr>
                <w:ilvl w:val="0"/>
                <w:numId w:val="3"/>
              </w:numPr>
              <w:jc w:val="both"/>
              <w:rPr>
                <w:rFonts w:eastAsiaTheme="minorEastAsia" w:cstheme="minorHAnsi"/>
              </w:rPr>
            </w:pPr>
            <w:r>
              <w:rPr>
                <w:rFonts w:eastAsiaTheme="minorEastAsia" w:cstheme="minorHAnsi"/>
              </w:rPr>
              <w:t>Planned primary surgical procedure</w:t>
            </w:r>
          </w:p>
          <w:p w14:paraId="0E5BAAF6" w14:textId="77777777" w:rsidR="00653724" w:rsidRDefault="00653724" w:rsidP="00653724">
            <w:pPr>
              <w:pStyle w:val="ListParagraph"/>
              <w:numPr>
                <w:ilvl w:val="0"/>
                <w:numId w:val="3"/>
              </w:numPr>
              <w:jc w:val="both"/>
              <w:rPr>
                <w:rFonts w:eastAsiaTheme="minorEastAsia" w:cstheme="minorHAnsi"/>
              </w:rPr>
            </w:pPr>
            <w:r>
              <w:rPr>
                <w:rFonts w:eastAsiaTheme="minorEastAsia" w:cstheme="minorHAnsi"/>
              </w:rPr>
              <w:t>MET call within prior 24 hours</w:t>
            </w:r>
          </w:p>
          <w:p w14:paraId="6DBA50D1" w14:textId="77777777" w:rsidR="00653724" w:rsidRDefault="00653724" w:rsidP="00653724">
            <w:pPr>
              <w:pStyle w:val="ListParagraph"/>
              <w:numPr>
                <w:ilvl w:val="0"/>
                <w:numId w:val="3"/>
              </w:numPr>
              <w:jc w:val="both"/>
              <w:rPr>
                <w:rFonts w:eastAsiaTheme="minorEastAsia" w:cstheme="minorHAnsi"/>
              </w:rPr>
            </w:pPr>
            <w:r>
              <w:rPr>
                <w:rFonts w:eastAsiaTheme="minorEastAsia" w:cstheme="minorHAnsi"/>
              </w:rPr>
              <w:t>Goals of care status documentation</w:t>
            </w:r>
          </w:p>
          <w:p w14:paraId="05303B4B" w14:textId="05A01A20" w:rsidR="00040C3B" w:rsidRPr="00653724" w:rsidRDefault="00653724" w:rsidP="00653724">
            <w:pPr>
              <w:pStyle w:val="ListParagraph"/>
              <w:numPr>
                <w:ilvl w:val="0"/>
                <w:numId w:val="3"/>
              </w:numPr>
              <w:jc w:val="both"/>
              <w:rPr>
                <w:rFonts w:eastAsiaTheme="minorEastAsia" w:cstheme="minorHAnsi"/>
              </w:rPr>
            </w:pPr>
            <w:r>
              <w:rPr>
                <w:rFonts w:eastAsiaTheme="minorEastAsia" w:cstheme="minorHAnsi"/>
              </w:rPr>
              <w:t xml:space="preserve">Other specialty involvement in consultation </w:t>
            </w:r>
          </w:p>
        </w:tc>
      </w:tr>
      <w:tr w:rsidR="00040C3B" w:rsidRPr="0077771B" w14:paraId="6B6EF917" w14:textId="77777777" w:rsidTr="0034014D">
        <w:tc>
          <w:tcPr>
            <w:tcW w:w="2694" w:type="dxa"/>
          </w:tcPr>
          <w:p w14:paraId="35D397C4" w14:textId="77777777" w:rsidR="00040C3B" w:rsidRPr="000324A0" w:rsidRDefault="00040C3B" w:rsidP="0034014D">
            <w:pPr>
              <w:spacing w:line="240" w:lineRule="auto"/>
              <w:contextualSpacing/>
              <w:rPr>
                <w:b/>
              </w:rPr>
            </w:pPr>
            <w:r w:rsidRPr="000324A0">
              <w:rPr>
                <w:b/>
              </w:rPr>
              <w:lastRenderedPageBreak/>
              <w:t>SECONDARY OUTCOME</w:t>
            </w:r>
            <w:r>
              <w:rPr>
                <w:b/>
              </w:rPr>
              <w:t>/PROCESS</w:t>
            </w:r>
            <w:r w:rsidRPr="000324A0">
              <w:rPr>
                <w:b/>
              </w:rPr>
              <w:t xml:space="preserve"> MEASURES</w:t>
            </w:r>
          </w:p>
        </w:tc>
        <w:tc>
          <w:tcPr>
            <w:tcW w:w="7371" w:type="dxa"/>
          </w:tcPr>
          <w:p w14:paraId="6A16EC01" w14:textId="6368CAF6" w:rsidR="00653724" w:rsidRPr="0022349F" w:rsidRDefault="00653724" w:rsidP="00653724">
            <w:pPr>
              <w:ind w:firstLine="360"/>
              <w:jc w:val="both"/>
              <w:rPr>
                <w:rFonts w:eastAsiaTheme="minorEastAsia" w:cstheme="minorHAnsi"/>
                <w:u w:val="single"/>
              </w:rPr>
            </w:pPr>
            <w:r w:rsidRPr="0022349F">
              <w:rPr>
                <w:rFonts w:eastAsiaTheme="minorEastAsia" w:cstheme="minorHAnsi"/>
                <w:u w:val="single"/>
              </w:rPr>
              <w:t>Outcomes</w:t>
            </w:r>
          </w:p>
          <w:p w14:paraId="0C68CCEA" w14:textId="77777777" w:rsidR="00653724" w:rsidRDefault="00653724" w:rsidP="00653724">
            <w:pPr>
              <w:pStyle w:val="ListParagraph"/>
              <w:numPr>
                <w:ilvl w:val="0"/>
                <w:numId w:val="4"/>
              </w:numPr>
              <w:jc w:val="both"/>
              <w:rPr>
                <w:rFonts w:eastAsiaTheme="minorEastAsia" w:cstheme="minorHAnsi"/>
              </w:rPr>
            </w:pPr>
            <w:r>
              <w:rPr>
                <w:rFonts w:eastAsiaTheme="minorEastAsia" w:cstheme="minorHAnsi"/>
              </w:rPr>
              <w:t>Total consultation time by general medical service (at index referral)</w:t>
            </w:r>
          </w:p>
          <w:p w14:paraId="2B89EBB9" w14:textId="77777777" w:rsidR="00653724" w:rsidRDefault="00653724" w:rsidP="00653724">
            <w:pPr>
              <w:pStyle w:val="ListParagraph"/>
              <w:numPr>
                <w:ilvl w:val="0"/>
                <w:numId w:val="4"/>
              </w:numPr>
              <w:jc w:val="both"/>
              <w:rPr>
                <w:rFonts w:eastAsiaTheme="minorEastAsia" w:cstheme="minorHAnsi"/>
              </w:rPr>
            </w:pPr>
            <w:r>
              <w:rPr>
                <w:rFonts w:eastAsiaTheme="minorEastAsia" w:cstheme="minorHAnsi"/>
              </w:rPr>
              <w:t>Number of MET calls in 48 hours following consultation</w:t>
            </w:r>
          </w:p>
          <w:p w14:paraId="6524F351" w14:textId="77777777" w:rsidR="00653724" w:rsidRDefault="00653724" w:rsidP="00653724">
            <w:pPr>
              <w:pStyle w:val="ListParagraph"/>
              <w:numPr>
                <w:ilvl w:val="0"/>
                <w:numId w:val="4"/>
              </w:numPr>
              <w:jc w:val="both"/>
              <w:rPr>
                <w:rFonts w:eastAsiaTheme="minorEastAsia" w:cstheme="minorHAnsi"/>
              </w:rPr>
            </w:pPr>
            <w:r>
              <w:rPr>
                <w:rFonts w:eastAsiaTheme="minorEastAsia" w:cstheme="minorHAnsi"/>
              </w:rPr>
              <w:t>Number of ICU admission 48 hours following consultation</w:t>
            </w:r>
          </w:p>
          <w:p w14:paraId="559765D5" w14:textId="77777777" w:rsidR="00653724" w:rsidRPr="005121B4" w:rsidRDefault="00653724" w:rsidP="00653724">
            <w:pPr>
              <w:pStyle w:val="ListParagraph"/>
              <w:numPr>
                <w:ilvl w:val="0"/>
                <w:numId w:val="4"/>
              </w:numPr>
              <w:jc w:val="both"/>
              <w:rPr>
                <w:rFonts w:eastAsiaTheme="minorEastAsia" w:cstheme="minorHAnsi"/>
              </w:rPr>
            </w:pPr>
            <w:r>
              <w:rPr>
                <w:rFonts w:eastAsiaTheme="minorEastAsia" w:cstheme="minorHAnsi"/>
              </w:rPr>
              <w:t>Death</w:t>
            </w:r>
          </w:p>
          <w:p w14:paraId="2C2A7C70" w14:textId="77777777" w:rsidR="00653724" w:rsidRDefault="00653724" w:rsidP="00653724">
            <w:pPr>
              <w:pStyle w:val="ListParagraph"/>
              <w:numPr>
                <w:ilvl w:val="0"/>
                <w:numId w:val="4"/>
              </w:numPr>
              <w:jc w:val="both"/>
              <w:rPr>
                <w:rFonts w:eastAsiaTheme="minorEastAsia" w:cstheme="minorHAnsi"/>
              </w:rPr>
            </w:pPr>
            <w:r>
              <w:rPr>
                <w:rFonts w:eastAsiaTheme="minorEastAsia" w:cstheme="minorHAnsi"/>
              </w:rPr>
              <w:t>Number of day of surgery cancellation</w:t>
            </w:r>
          </w:p>
          <w:p w14:paraId="74F4A947" w14:textId="77777777" w:rsidR="00653724" w:rsidRDefault="00653724" w:rsidP="00653724">
            <w:pPr>
              <w:pStyle w:val="ListParagraph"/>
              <w:numPr>
                <w:ilvl w:val="0"/>
                <w:numId w:val="4"/>
              </w:numPr>
              <w:jc w:val="both"/>
              <w:rPr>
                <w:rFonts w:eastAsiaTheme="minorEastAsia" w:cstheme="minorHAnsi"/>
              </w:rPr>
            </w:pPr>
            <w:r>
              <w:rPr>
                <w:rFonts w:eastAsiaTheme="minorEastAsia" w:cstheme="minorHAnsi"/>
              </w:rPr>
              <w:t>Number of take-over of care eventuated under general medicine</w:t>
            </w:r>
          </w:p>
          <w:p w14:paraId="690F0BC4" w14:textId="77777777" w:rsidR="00653724" w:rsidRDefault="00653724" w:rsidP="00653724">
            <w:pPr>
              <w:pStyle w:val="ListParagraph"/>
              <w:numPr>
                <w:ilvl w:val="0"/>
                <w:numId w:val="4"/>
              </w:numPr>
              <w:jc w:val="both"/>
              <w:rPr>
                <w:rFonts w:eastAsiaTheme="minorEastAsia" w:cstheme="minorHAnsi"/>
              </w:rPr>
            </w:pPr>
            <w:r>
              <w:rPr>
                <w:rFonts w:eastAsiaTheme="minorEastAsia" w:cstheme="minorHAnsi"/>
              </w:rPr>
              <w:t>Length of stay at acute hospital</w:t>
            </w:r>
          </w:p>
          <w:p w14:paraId="0F48804E" w14:textId="3D1EC57F" w:rsidR="00040C3B" w:rsidRPr="00653724" w:rsidRDefault="00653724" w:rsidP="00653724">
            <w:pPr>
              <w:pStyle w:val="ListParagraph"/>
              <w:spacing w:after="0" w:line="240" w:lineRule="auto"/>
              <w:ind w:left="360"/>
              <w:rPr>
                <w:rFonts w:cs="TimesNewRomanPSMT"/>
              </w:rPr>
            </w:pPr>
            <w:r>
              <w:rPr>
                <w:rFonts w:eastAsiaTheme="minorEastAsia" w:cstheme="minorHAnsi"/>
              </w:rPr>
              <w:t>Discharge destination (home vs. rehab vs. long term residential care facility)</w:t>
            </w:r>
          </w:p>
        </w:tc>
      </w:tr>
      <w:tr w:rsidR="00040C3B" w:rsidRPr="0077771B" w14:paraId="5F39C7FD" w14:textId="77777777" w:rsidTr="0034014D">
        <w:tc>
          <w:tcPr>
            <w:tcW w:w="2694" w:type="dxa"/>
          </w:tcPr>
          <w:p w14:paraId="1B56CF82" w14:textId="77777777" w:rsidR="00040C3B" w:rsidRDefault="00040C3B" w:rsidP="0034014D">
            <w:pPr>
              <w:spacing w:line="240" w:lineRule="auto"/>
              <w:contextualSpacing/>
              <w:rPr>
                <w:b/>
              </w:rPr>
            </w:pPr>
            <w:r w:rsidRPr="000324A0">
              <w:br w:type="page"/>
            </w:r>
            <w:r>
              <w:rPr>
                <w:b/>
              </w:rPr>
              <w:t>STUDY DESIGN</w:t>
            </w:r>
          </w:p>
          <w:p w14:paraId="6C637448" w14:textId="77777777" w:rsidR="00040C3B" w:rsidRPr="00C13F1C" w:rsidRDefault="00040C3B" w:rsidP="0034014D">
            <w:pPr>
              <w:spacing w:line="240" w:lineRule="auto"/>
              <w:contextualSpacing/>
              <w:rPr>
                <w:b/>
              </w:rPr>
            </w:pPr>
            <w:r>
              <w:rPr>
                <w:b/>
              </w:rPr>
              <w:t xml:space="preserve">(IF THE STUDY IS A CLINICAL TRIAL, PLEASE INCLUDE INFORMATION ON SAMPLE SIZE CALCULATION,  RANDOMISATION, AND BLINDING) </w:t>
            </w:r>
          </w:p>
          <w:p w14:paraId="3E70E7FD" w14:textId="77777777" w:rsidR="00040C3B" w:rsidRPr="000324A0" w:rsidRDefault="00040C3B" w:rsidP="0034014D">
            <w:pPr>
              <w:spacing w:line="240" w:lineRule="auto"/>
              <w:contextualSpacing/>
              <w:rPr>
                <w:b/>
              </w:rPr>
            </w:pPr>
          </w:p>
        </w:tc>
        <w:tc>
          <w:tcPr>
            <w:tcW w:w="7371" w:type="dxa"/>
          </w:tcPr>
          <w:p w14:paraId="0C80BC3D" w14:textId="0EED7A60" w:rsidR="00040C3B" w:rsidRDefault="00653724" w:rsidP="0034014D">
            <w:pPr>
              <w:autoSpaceDE w:val="0"/>
              <w:autoSpaceDN w:val="0"/>
              <w:adjustRightInd w:val="0"/>
              <w:spacing w:line="240" w:lineRule="auto"/>
              <w:contextualSpacing/>
            </w:pPr>
            <w:r>
              <w:t xml:space="preserve">Prospective </w:t>
            </w:r>
            <w:r w:rsidR="00B365F2">
              <w:t xml:space="preserve">observational </w:t>
            </w:r>
            <w:r>
              <w:t>cohort study</w:t>
            </w:r>
          </w:p>
          <w:p w14:paraId="41C23625" w14:textId="77777777" w:rsidR="00040C3B" w:rsidRDefault="00040C3B" w:rsidP="0034014D">
            <w:pPr>
              <w:autoSpaceDE w:val="0"/>
              <w:autoSpaceDN w:val="0"/>
              <w:adjustRightInd w:val="0"/>
              <w:spacing w:line="240" w:lineRule="auto"/>
              <w:contextualSpacing/>
            </w:pPr>
          </w:p>
          <w:p w14:paraId="52A3F5F1" w14:textId="77777777" w:rsidR="00040C3B" w:rsidRDefault="00040C3B" w:rsidP="0034014D">
            <w:pPr>
              <w:autoSpaceDE w:val="0"/>
              <w:autoSpaceDN w:val="0"/>
              <w:adjustRightInd w:val="0"/>
              <w:spacing w:line="240" w:lineRule="auto"/>
              <w:contextualSpacing/>
            </w:pPr>
          </w:p>
          <w:p w14:paraId="771F09D8" w14:textId="77777777" w:rsidR="00040C3B" w:rsidRDefault="00040C3B" w:rsidP="0034014D">
            <w:pPr>
              <w:autoSpaceDE w:val="0"/>
              <w:autoSpaceDN w:val="0"/>
              <w:adjustRightInd w:val="0"/>
              <w:spacing w:line="240" w:lineRule="auto"/>
              <w:contextualSpacing/>
            </w:pPr>
          </w:p>
          <w:p w14:paraId="7CC9A7DD" w14:textId="77777777" w:rsidR="00040C3B" w:rsidRPr="000324A0" w:rsidRDefault="00040C3B" w:rsidP="0034014D">
            <w:pPr>
              <w:autoSpaceDE w:val="0"/>
              <w:autoSpaceDN w:val="0"/>
              <w:adjustRightInd w:val="0"/>
              <w:spacing w:line="240" w:lineRule="auto"/>
              <w:contextualSpacing/>
            </w:pPr>
          </w:p>
        </w:tc>
      </w:tr>
      <w:tr w:rsidR="00040C3B" w:rsidRPr="0077771B" w14:paraId="51C93F72" w14:textId="77777777" w:rsidTr="0034014D">
        <w:tc>
          <w:tcPr>
            <w:tcW w:w="2694" w:type="dxa"/>
          </w:tcPr>
          <w:p w14:paraId="46BA14BE" w14:textId="77777777" w:rsidR="00040C3B" w:rsidRPr="000324A0" w:rsidRDefault="00040C3B" w:rsidP="0034014D">
            <w:pPr>
              <w:spacing w:line="240" w:lineRule="auto"/>
              <w:contextualSpacing/>
              <w:rPr>
                <w:b/>
              </w:rPr>
            </w:pPr>
            <w:r w:rsidRPr="000324A0">
              <w:rPr>
                <w:b/>
              </w:rPr>
              <w:t>INCLUSION CRITERIA</w:t>
            </w:r>
          </w:p>
        </w:tc>
        <w:tc>
          <w:tcPr>
            <w:tcW w:w="7371" w:type="dxa"/>
          </w:tcPr>
          <w:p w14:paraId="159FB2F6" w14:textId="2D33CF47" w:rsidR="00B365F2" w:rsidRDefault="00B365F2" w:rsidP="00B365F2">
            <w:pPr>
              <w:pStyle w:val="ListParagraph"/>
              <w:numPr>
                <w:ilvl w:val="0"/>
                <w:numId w:val="5"/>
              </w:numPr>
              <w:jc w:val="both"/>
              <w:rPr>
                <w:rFonts w:eastAsiaTheme="minorEastAsia" w:cstheme="minorHAnsi"/>
              </w:rPr>
            </w:pPr>
            <w:r>
              <w:rPr>
                <w:rFonts w:eastAsiaTheme="minorEastAsia" w:cstheme="minorHAnsi"/>
              </w:rPr>
              <w:t>M</w:t>
            </w:r>
            <w:r w:rsidRPr="00B365F2">
              <w:rPr>
                <w:rFonts w:eastAsiaTheme="minorEastAsia" w:cstheme="minorHAnsi"/>
              </w:rPr>
              <w:t>etropolitan and/or regional public hospitals with perioperative services embedded within the department of general medicine</w:t>
            </w:r>
            <w:r>
              <w:rPr>
                <w:rFonts w:eastAsiaTheme="minorEastAsia" w:cstheme="minorHAnsi"/>
              </w:rPr>
              <w:t xml:space="preserve"> in the state of Victoria</w:t>
            </w:r>
            <w:r w:rsidRPr="00B365F2">
              <w:rPr>
                <w:rFonts w:eastAsiaTheme="minorEastAsia" w:cstheme="minorHAnsi"/>
              </w:rPr>
              <w:t xml:space="preserve"> </w:t>
            </w:r>
          </w:p>
          <w:p w14:paraId="34027AA4" w14:textId="77777777" w:rsidR="00B365F2" w:rsidRDefault="00B365F2" w:rsidP="00B365F2">
            <w:pPr>
              <w:pStyle w:val="ListParagraph"/>
              <w:numPr>
                <w:ilvl w:val="0"/>
                <w:numId w:val="5"/>
              </w:numPr>
              <w:jc w:val="both"/>
              <w:rPr>
                <w:rFonts w:eastAsiaTheme="minorEastAsia" w:cstheme="minorHAnsi"/>
              </w:rPr>
            </w:pPr>
            <w:r w:rsidRPr="00B365F2">
              <w:rPr>
                <w:rFonts w:eastAsiaTheme="minorEastAsia" w:cstheme="minorHAnsi"/>
              </w:rPr>
              <w:t xml:space="preserve">All adult patients ≥18 years of age referred to general medical perioperative services over a 6-week period </w:t>
            </w:r>
          </w:p>
          <w:p w14:paraId="33521B4A" w14:textId="77777777" w:rsidR="00B365F2" w:rsidRDefault="00B365F2" w:rsidP="00B365F2">
            <w:pPr>
              <w:pStyle w:val="ListParagraph"/>
              <w:numPr>
                <w:ilvl w:val="0"/>
                <w:numId w:val="5"/>
              </w:numPr>
              <w:jc w:val="both"/>
              <w:rPr>
                <w:rFonts w:eastAsiaTheme="minorEastAsia" w:cstheme="minorHAnsi"/>
              </w:rPr>
            </w:pPr>
            <w:r w:rsidRPr="00B365F2">
              <w:rPr>
                <w:rFonts w:eastAsiaTheme="minorEastAsia" w:cstheme="minorHAnsi"/>
              </w:rPr>
              <w:t xml:space="preserve">Both inpatient and outpatient referrals </w:t>
            </w:r>
          </w:p>
          <w:p w14:paraId="46482A5A" w14:textId="77777777" w:rsidR="00B365F2" w:rsidRDefault="00B365F2" w:rsidP="00B365F2">
            <w:pPr>
              <w:pStyle w:val="ListParagraph"/>
              <w:numPr>
                <w:ilvl w:val="0"/>
                <w:numId w:val="5"/>
              </w:numPr>
              <w:jc w:val="both"/>
              <w:rPr>
                <w:rFonts w:eastAsiaTheme="minorEastAsia" w:cstheme="minorHAnsi"/>
              </w:rPr>
            </w:pPr>
            <w:r>
              <w:rPr>
                <w:rFonts w:eastAsiaTheme="minorEastAsia" w:cstheme="minorHAnsi"/>
              </w:rPr>
              <w:t>C</w:t>
            </w:r>
            <w:r w:rsidRPr="00B365F2">
              <w:rPr>
                <w:rFonts w:eastAsiaTheme="minorEastAsia" w:cstheme="minorHAnsi"/>
              </w:rPr>
              <w:t xml:space="preserve">oncerning any operative or non-operative surgical patients </w:t>
            </w:r>
          </w:p>
          <w:p w14:paraId="4F2ECF08" w14:textId="072F17F4" w:rsidR="00040C3B" w:rsidRPr="000324A0" w:rsidRDefault="00B365F2" w:rsidP="0034014D">
            <w:pPr>
              <w:pStyle w:val="ListParagraph"/>
              <w:numPr>
                <w:ilvl w:val="0"/>
                <w:numId w:val="5"/>
              </w:numPr>
              <w:autoSpaceDE w:val="0"/>
              <w:autoSpaceDN w:val="0"/>
              <w:adjustRightInd w:val="0"/>
              <w:spacing w:after="60" w:line="240" w:lineRule="auto"/>
              <w:jc w:val="both"/>
            </w:pPr>
            <w:r w:rsidRPr="00B365F2">
              <w:rPr>
                <w:rFonts w:eastAsiaTheme="minorEastAsia" w:cstheme="minorHAnsi"/>
              </w:rPr>
              <w:t xml:space="preserve">Both emergency and elective surgery referrals </w:t>
            </w:r>
          </w:p>
        </w:tc>
      </w:tr>
      <w:tr w:rsidR="00040C3B" w:rsidRPr="0077771B" w14:paraId="745FBC62" w14:textId="77777777" w:rsidTr="0034014D">
        <w:tc>
          <w:tcPr>
            <w:tcW w:w="2694" w:type="dxa"/>
          </w:tcPr>
          <w:p w14:paraId="3093D494" w14:textId="77777777" w:rsidR="00040C3B" w:rsidRPr="000324A0" w:rsidRDefault="00040C3B" w:rsidP="0034014D">
            <w:pPr>
              <w:spacing w:line="240" w:lineRule="auto"/>
              <w:contextualSpacing/>
              <w:rPr>
                <w:b/>
              </w:rPr>
            </w:pPr>
            <w:r w:rsidRPr="000324A0">
              <w:rPr>
                <w:b/>
              </w:rPr>
              <w:t>EXCLUSION CRITERIA</w:t>
            </w:r>
          </w:p>
        </w:tc>
        <w:tc>
          <w:tcPr>
            <w:tcW w:w="7371" w:type="dxa"/>
          </w:tcPr>
          <w:p w14:paraId="5027BA76" w14:textId="77777777" w:rsidR="00B365F2" w:rsidRDefault="00B365F2" w:rsidP="00B365F2">
            <w:pPr>
              <w:pStyle w:val="ListParagraph"/>
              <w:numPr>
                <w:ilvl w:val="0"/>
                <w:numId w:val="6"/>
              </w:numPr>
              <w:jc w:val="both"/>
              <w:rPr>
                <w:rFonts w:eastAsiaTheme="minorEastAsia" w:cstheme="minorHAnsi"/>
              </w:rPr>
            </w:pPr>
            <w:r w:rsidRPr="00B365F2">
              <w:rPr>
                <w:rFonts w:eastAsiaTheme="minorEastAsia" w:cstheme="minorHAnsi"/>
              </w:rPr>
              <w:t>Patients referred from non-surgical units for general medical evaluation</w:t>
            </w:r>
          </w:p>
          <w:p w14:paraId="122D7149" w14:textId="73A01A74" w:rsidR="00040C3B" w:rsidRPr="00B365F2" w:rsidRDefault="00B365F2" w:rsidP="00B365F2">
            <w:pPr>
              <w:pStyle w:val="ListParagraph"/>
              <w:numPr>
                <w:ilvl w:val="0"/>
                <w:numId w:val="6"/>
              </w:numPr>
              <w:jc w:val="both"/>
              <w:rPr>
                <w:rFonts w:eastAsiaTheme="minorEastAsia" w:cstheme="minorHAnsi"/>
              </w:rPr>
            </w:pPr>
            <w:r>
              <w:rPr>
                <w:rFonts w:eastAsiaTheme="minorEastAsia" w:cstheme="minorHAnsi"/>
              </w:rPr>
              <w:t>P</w:t>
            </w:r>
            <w:r w:rsidRPr="00B365F2">
              <w:rPr>
                <w:rFonts w:eastAsiaTheme="minorEastAsia" w:cstheme="minorHAnsi"/>
              </w:rPr>
              <w:t>atients exclusively managed by another specialty’s perioperative service (e.g. orthogeris)</w:t>
            </w:r>
          </w:p>
        </w:tc>
      </w:tr>
      <w:tr w:rsidR="00040C3B" w:rsidRPr="0077771B" w14:paraId="66039585" w14:textId="77777777" w:rsidTr="0034014D">
        <w:tc>
          <w:tcPr>
            <w:tcW w:w="2694" w:type="dxa"/>
          </w:tcPr>
          <w:p w14:paraId="17CAE4A7" w14:textId="77777777" w:rsidR="00040C3B" w:rsidRPr="000324A0" w:rsidRDefault="00040C3B" w:rsidP="0034014D">
            <w:pPr>
              <w:spacing w:line="240" w:lineRule="auto"/>
              <w:contextualSpacing/>
              <w:rPr>
                <w:b/>
              </w:rPr>
            </w:pPr>
            <w:r>
              <w:rPr>
                <w:b/>
              </w:rPr>
              <w:t xml:space="preserve">EXPECTED </w:t>
            </w:r>
            <w:r w:rsidRPr="000324A0">
              <w:rPr>
                <w:b/>
              </w:rPr>
              <w:t>NUMBER OF PARTICIPANTS</w:t>
            </w:r>
          </w:p>
        </w:tc>
        <w:tc>
          <w:tcPr>
            <w:tcW w:w="7371" w:type="dxa"/>
          </w:tcPr>
          <w:p w14:paraId="5DB2A79E" w14:textId="2995F1BB" w:rsidR="00040C3B" w:rsidRDefault="00B365F2" w:rsidP="0034014D">
            <w:pPr>
              <w:spacing w:after="0" w:line="240" w:lineRule="auto"/>
              <w:ind w:right="113"/>
            </w:pPr>
            <w:r>
              <w:t>1000 - 1500</w:t>
            </w:r>
          </w:p>
          <w:p w14:paraId="31158D00" w14:textId="77777777" w:rsidR="00040C3B" w:rsidRDefault="00040C3B" w:rsidP="0034014D">
            <w:pPr>
              <w:spacing w:after="0" w:line="240" w:lineRule="auto"/>
              <w:ind w:right="113"/>
            </w:pPr>
          </w:p>
          <w:p w14:paraId="7DA80D0D" w14:textId="77777777" w:rsidR="00B365F2" w:rsidRDefault="00B365F2" w:rsidP="0034014D">
            <w:pPr>
              <w:spacing w:after="0" w:line="240" w:lineRule="auto"/>
              <w:ind w:right="113"/>
            </w:pPr>
          </w:p>
          <w:p w14:paraId="1309475E" w14:textId="22CF16BD" w:rsidR="00B365F2" w:rsidRPr="000324A0" w:rsidRDefault="00B365F2" w:rsidP="0034014D">
            <w:pPr>
              <w:spacing w:after="0" w:line="240" w:lineRule="auto"/>
              <w:ind w:right="113"/>
            </w:pPr>
          </w:p>
        </w:tc>
      </w:tr>
      <w:tr w:rsidR="00040C3B" w:rsidRPr="0077771B" w14:paraId="58113D16" w14:textId="77777777" w:rsidTr="0034014D">
        <w:tc>
          <w:tcPr>
            <w:tcW w:w="2694" w:type="dxa"/>
          </w:tcPr>
          <w:p w14:paraId="328C0E3F" w14:textId="77777777" w:rsidR="00040C3B" w:rsidRDefault="00040C3B" w:rsidP="0034014D">
            <w:pPr>
              <w:spacing w:line="240" w:lineRule="auto"/>
              <w:contextualSpacing/>
              <w:rPr>
                <w:b/>
              </w:rPr>
            </w:pPr>
            <w:r>
              <w:rPr>
                <w:b/>
              </w:rPr>
              <w:t>STUDY DURATION</w:t>
            </w:r>
          </w:p>
          <w:p w14:paraId="420B5530" w14:textId="77777777" w:rsidR="00040C3B" w:rsidRDefault="00040C3B" w:rsidP="0034014D">
            <w:pPr>
              <w:spacing w:line="240" w:lineRule="auto"/>
              <w:contextualSpacing/>
              <w:rPr>
                <w:b/>
              </w:rPr>
            </w:pPr>
          </w:p>
          <w:p w14:paraId="47CFE528" w14:textId="77777777" w:rsidR="00040C3B" w:rsidRDefault="00040C3B" w:rsidP="0034014D">
            <w:pPr>
              <w:spacing w:line="240" w:lineRule="auto"/>
              <w:contextualSpacing/>
              <w:rPr>
                <w:b/>
              </w:rPr>
            </w:pPr>
          </w:p>
          <w:p w14:paraId="0D971DC1" w14:textId="77777777" w:rsidR="00040C3B" w:rsidRDefault="00040C3B" w:rsidP="0034014D">
            <w:pPr>
              <w:spacing w:line="240" w:lineRule="auto"/>
              <w:contextualSpacing/>
              <w:rPr>
                <w:b/>
              </w:rPr>
            </w:pPr>
          </w:p>
          <w:p w14:paraId="795D3001" w14:textId="77777777" w:rsidR="00040C3B" w:rsidRDefault="00040C3B" w:rsidP="0034014D">
            <w:pPr>
              <w:spacing w:line="240" w:lineRule="auto"/>
              <w:contextualSpacing/>
              <w:rPr>
                <w:b/>
              </w:rPr>
            </w:pPr>
          </w:p>
          <w:p w14:paraId="07078DBA" w14:textId="77777777" w:rsidR="00040C3B" w:rsidRPr="000324A0" w:rsidRDefault="00040C3B" w:rsidP="0034014D">
            <w:pPr>
              <w:spacing w:line="240" w:lineRule="auto"/>
              <w:contextualSpacing/>
              <w:rPr>
                <w:b/>
              </w:rPr>
            </w:pPr>
          </w:p>
        </w:tc>
        <w:tc>
          <w:tcPr>
            <w:tcW w:w="7371" w:type="dxa"/>
            <w:vAlign w:val="center"/>
          </w:tcPr>
          <w:p w14:paraId="47D4D9AF" w14:textId="16F0E1F1" w:rsidR="00040C3B" w:rsidRDefault="00B365F2" w:rsidP="00B365F2">
            <w:pPr>
              <w:spacing w:after="0" w:line="240" w:lineRule="auto"/>
              <w:ind w:right="113"/>
              <w:contextualSpacing/>
            </w:pPr>
            <w:r>
              <w:t>6 months from 1</w:t>
            </w:r>
            <w:r w:rsidRPr="00B365F2">
              <w:rPr>
                <w:vertAlign w:val="superscript"/>
              </w:rPr>
              <w:t>st</w:t>
            </w:r>
            <w:r>
              <w:t xml:space="preserve"> July 2023 to 31</w:t>
            </w:r>
            <w:r w:rsidRPr="00B365F2">
              <w:rPr>
                <w:vertAlign w:val="superscript"/>
              </w:rPr>
              <w:t>st</w:t>
            </w:r>
            <w:r>
              <w:t xml:space="preserve"> December 2023 </w:t>
            </w:r>
          </w:p>
          <w:p w14:paraId="4BAFE27E" w14:textId="77777777" w:rsidR="00040C3B" w:rsidRDefault="00040C3B" w:rsidP="00B365F2">
            <w:pPr>
              <w:spacing w:after="0" w:line="240" w:lineRule="auto"/>
              <w:ind w:right="113"/>
              <w:contextualSpacing/>
            </w:pPr>
          </w:p>
          <w:p w14:paraId="3590E666" w14:textId="77777777" w:rsidR="00040C3B" w:rsidRDefault="00040C3B" w:rsidP="00B365F2">
            <w:pPr>
              <w:spacing w:after="0" w:line="240" w:lineRule="auto"/>
              <w:ind w:right="113"/>
              <w:contextualSpacing/>
            </w:pPr>
          </w:p>
          <w:p w14:paraId="4100D5A7" w14:textId="77777777" w:rsidR="00040C3B" w:rsidRPr="000324A0" w:rsidRDefault="00040C3B" w:rsidP="00B365F2">
            <w:pPr>
              <w:spacing w:after="0" w:line="240" w:lineRule="auto"/>
              <w:ind w:right="113"/>
              <w:contextualSpacing/>
            </w:pPr>
          </w:p>
        </w:tc>
      </w:tr>
      <w:tr w:rsidR="00040C3B" w:rsidRPr="0077771B" w14:paraId="2CF4D09C" w14:textId="77777777" w:rsidTr="0034014D">
        <w:tc>
          <w:tcPr>
            <w:tcW w:w="2694" w:type="dxa"/>
          </w:tcPr>
          <w:p w14:paraId="28615188" w14:textId="77777777" w:rsidR="00040C3B" w:rsidRPr="000324A0" w:rsidRDefault="00040C3B" w:rsidP="0034014D">
            <w:pPr>
              <w:spacing w:line="240" w:lineRule="auto"/>
              <w:contextualSpacing/>
              <w:rPr>
                <w:b/>
              </w:rPr>
            </w:pPr>
            <w:r w:rsidRPr="000324A0">
              <w:rPr>
                <w:b/>
              </w:rPr>
              <w:t>ANALYSIS</w:t>
            </w:r>
          </w:p>
        </w:tc>
        <w:tc>
          <w:tcPr>
            <w:tcW w:w="7371" w:type="dxa"/>
          </w:tcPr>
          <w:p w14:paraId="0D7DC4D5" w14:textId="3A80ECC2" w:rsidR="00040C3B" w:rsidRPr="00B365F2" w:rsidRDefault="00B365F2" w:rsidP="00B365F2">
            <w:pPr>
              <w:jc w:val="both"/>
              <w:rPr>
                <w:rFonts w:ascii="Calibri" w:eastAsiaTheme="minorEastAsia" w:hAnsi="Calibri" w:cs="Calibri"/>
              </w:rPr>
            </w:pPr>
            <w:r>
              <w:rPr>
                <w:rFonts w:ascii="Calibri" w:eastAsiaTheme="minorEastAsia" w:hAnsi="Calibri" w:cs="Calibri"/>
              </w:rPr>
              <w:t xml:space="preserve">Categorical data will be presented in counts and proportions and continuous data will be analysed for normality of distribution and presented in mean +/- standard deviations or median with interquartile ranges. Where applicable, comparisons will be made using parametric or non-parametric tests of significance as appropriate. Stratified analyses, based on models of care, will be undertaken where appropriate. </w:t>
            </w:r>
          </w:p>
        </w:tc>
      </w:tr>
      <w:tr w:rsidR="00040C3B" w:rsidRPr="0077771B" w14:paraId="1E660B00" w14:textId="77777777" w:rsidTr="0034014D">
        <w:tc>
          <w:tcPr>
            <w:tcW w:w="2694" w:type="dxa"/>
          </w:tcPr>
          <w:p w14:paraId="46F3B11C" w14:textId="77777777" w:rsidR="00040C3B" w:rsidRDefault="00040C3B" w:rsidP="0034014D">
            <w:pPr>
              <w:spacing w:line="240" w:lineRule="auto"/>
              <w:contextualSpacing/>
              <w:rPr>
                <w:b/>
              </w:rPr>
            </w:pPr>
            <w:r>
              <w:rPr>
                <w:b/>
              </w:rPr>
              <w:lastRenderedPageBreak/>
              <w:t xml:space="preserve">IMPORTANCE TO GENERAL MEDICINE </w:t>
            </w:r>
          </w:p>
          <w:p w14:paraId="0DDE611B" w14:textId="77777777" w:rsidR="00040C3B" w:rsidRDefault="00040C3B" w:rsidP="0034014D">
            <w:pPr>
              <w:spacing w:line="240" w:lineRule="auto"/>
              <w:contextualSpacing/>
              <w:rPr>
                <w:b/>
              </w:rPr>
            </w:pPr>
          </w:p>
          <w:p w14:paraId="27400BCC" w14:textId="77777777" w:rsidR="00040C3B" w:rsidRDefault="00040C3B" w:rsidP="0034014D">
            <w:pPr>
              <w:spacing w:line="240" w:lineRule="auto"/>
              <w:contextualSpacing/>
              <w:rPr>
                <w:b/>
              </w:rPr>
            </w:pPr>
          </w:p>
          <w:p w14:paraId="5F11536B" w14:textId="77777777" w:rsidR="00040C3B" w:rsidRPr="000324A0" w:rsidRDefault="00040C3B" w:rsidP="0034014D">
            <w:pPr>
              <w:spacing w:line="240" w:lineRule="auto"/>
              <w:contextualSpacing/>
              <w:rPr>
                <w:b/>
              </w:rPr>
            </w:pPr>
          </w:p>
        </w:tc>
        <w:tc>
          <w:tcPr>
            <w:tcW w:w="7371" w:type="dxa"/>
          </w:tcPr>
          <w:p w14:paraId="36BA268F" w14:textId="3BEF3D74" w:rsidR="00040C3B" w:rsidRDefault="00B365F2" w:rsidP="0034014D">
            <w:pPr>
              <w:spacing w:line="240" w:lineRule="auto"/>
              <w:contextualSpacing/>
            </w:pPr>
            <w:r>
              <w:t>This study will highlight the importance of general medicine perioperative services in Australia and the data will likely influence the development of quality improvement initiatives and service structure changes to provide better quality of care to the patients.</w:t>
            </w:r>
          </w:p>
        </w:tc>
      </w:tr>
      <w:tr w:rsidR="00040C3B" w:rsidRPr="0077771B" w14:paraId="5F38080C" w14:textId="77777777" w:rsidTr="0034014D">
        <w:tc>
          <w:tcPr>
            <w:tcW w:w="2694" w:type="dxa"/>
          </w:tcPr>
          <w:p w14:paraId="4BC0CAAD" w14:textId="77777777" w:rsidR="00040C3B" w:rsidRDefault="00040C3B" w:rsidP="0034014D">
            <w:pPr>
              <w:spacing w:line="240" w:lineRule="auto"/>
              <w:contextualSpacing/>
              <w:rPr>
                <w:b/>
              </w:rPr>
            </w:pPr>
            <w:r>
              <w:rPr>
                <w:b/>
              </w:rPr>
              <w:t>FUNDING</w:t>
            </w:r>
          </w:p>
          <w:p w14:paraId="3E2C3A38" w14:textId="77777777" w:rsidR="00040C3B" w:rsidRDefault="00040C3B" w:rsidP="0034014D">
            <w:pPr>
              <w:spacing w:line="240" w:lineRule="auto"/>
              <w:contextualSpacing/>
              <w:rPr>
                <w:b/>
              </w:rPr>
            </w:pPr>
          </w:p>
          <w:p w14:paraId="41C25B59" w14:textId="77777777" w:rsidR="00040C3B" w:rsidRDefault="00040C3B" w:rsidP="0034014D">
            <w:pPr>
              <w:spacing w:line="240" w:lineRule="auto"/>
              <w:contextualSpacing/>
              <w:rPr>
                <w:b/>
              </w:rPr>
            </w:pPr>
          </w:p>
          <w:p w14:paraId="5837397A" w14:textId="77777777" w:rsidR="00040C3B" w:rsidRDefault="00040C3B" w:rsidP="0034014D">
            <w:pPr>
              <w:spacing w:line="240" w:lineRule="auto"/>
              <w:contextualSpacing/>
              <w:rPr>
                <w:b/>
              </w:rPr>
            </w:pPr>
          </w:p>
          <w:p w14:paraId="59A4D67C" w14:textId="77777777" w:rsidR="00040C3B" w:rsidRPr="000324A0" w:rsidRDefault="00040C3B" w:rsidP="0034014D">
            <w:pPr>
              <w:spacing w:line="240" w:lineRule="auto"/>
              <w:contextualSpacing/>
              <w:rPr>
                <w:b/>
              </w:rPr>
            </w:pPr>
          </w:p>
        </w:tc>
        <w:tc>
          <w:tcPr>
            <w:tcW w:w="7371" w:type="dxa"/>
          </w:tcPr>
          <w:p w14:paraId="23C532BB" w14:textId="72D11C88" w:rsidR="00040C3B" w:rsidRPr="000324A0" w:rsidRDefault="00B365F2" w:rsidP="0034014D">
            <w:pPr>
              <w:spacing w:line="240" w:lineRule="auto"/>
              <w:contextualSpacing/>
            </w:pPr>
            <w:r>
              <w:t>None</w:t>
            </w:r>
          </w:p>
        </w:tc>
      </w:tr>
      <w:tr w:rsidR="00040C3B" w:rsidRPr="0077771B" w14:paraId="364BBE7D" w14:textId="77777777" w:rsidTr="0034014D">
        <w:tc>
          <w:tcPr>
            <w:tcW w:w="2694" w:type="dxa"/>
          </w:tcPr>
          <w:p w14:paraId="0399A594" w14:textId="77777777" w:rsidR="00040C3B" w:rsidRDefault="00040C3B" w:rsidP="0034014D">
            <w:pPr>
              <w:spacing w:line="240" w:lineRule="auto"/>
              <w:contextualSpacing/>
              <w:rPr>
                <w:b/>
              </w:rPr>
            </w:pPr>
            <w:r>
              <w:rPr>
                <w:b/>
              </w:rPr>
              <w:t>CURRENT PROGRESS</w:t>
            </w:r>
          </w:p>
        </w:tc>
        <w:tc>
          <w:tcPr>
            <w:tcW w:w="7371" w:type="dxa"/>
          </w:tcPr>
          <w:p w14:paraId="3871E3DA" w14:textId="4005A60F" w:rsidR="00040C3B" w:rsidRDefault="00040C3B" w:rsidP="0034014D">
            <w:pPr>
              <w:spacing w:line="240" w:lineRule="auto"/>
              <w:contextualSpacing/>
            </w:pPr>
            <w:r>
              <w:t xml:space="preserve">Design and protocol development </w:t>
            </w:r>
            <w:r w:rsidR="00B365F2" w:rsidRPr="00B365F2">
              <w:rPr>
                <w:highlight w:val="yellow"/>
              </w:rPr>
              <w:t>X</w:t>
            </w:r>
          </w:p>
          <w:p w14:paraId="043EE7CF" w14:textId="7547AA92" w:rsidR="00040C3B" w:rsidRDefault="00040C3B" w:rsidP="0034014D">
            <w:pPr>
              <w:spacing w:line="240" w:lineRule="auto"/>
              <w:contextualSpacing/>
            </w:pPr>
            <w:r>
              <w:t xml:space="preserve">Ethics application </w:t>
            </w:r>
            <w:r w:rsidR="00B365F2" w:rsidRPr="00B365F2">
              <w:rPr>
                <w:highlight w:val="yellow"/>
              </w:rPr>
              <w:t>X</w:t>
            </w:r>
          </w:p>
          <w:p w14:paraId="7C4F99DB" w14:textId="77777777" w:rsidR="00040C3B" w:rsidRDefault="00040C3B" w:rsidP="0034014D">
            <w:pPr>
              <w:spacing w:line="240" w:lineRule="auto"/>
              <w:contextualSpacing/>
            </w:pPr>
            <w:r>
              <w:t>Study in progress []</w:t>
            </w:r>
          </w:p>
          <w:p w14:paraId="14CE6677" w14:textId="77777777" w:rsidR="00040C3B" w:rsidRDefault="00040C3B" w:rsidP="0034014D">
            <w:pPr>
              <w:spacing w:line="240" w:lineRule="auto"/>
              <w:contextualSpacing/>
            </w:pPr>
            <w:r>
              <w:t>Manuscript write-up in progress or under review []</w:t>
            </w:r>
          </w:p>
          <w:p w14:paraId="4D3D991A" w14:textId="77777777" w:rsidR="00040C3B" w:rsidRDefault="00040C3B" w:rsidP="0034014D">
            <w:pPr>
              <w:spacing w:line="240" w:lineRule="auto"/>
              <w:contextualSpacing/>
            </w:pPr>
            <w:r>
              <w:t>Accepted or published []</w:t>
            </w:r>
          </w:p>
          <w:p w14:paraId="4F276B49" w14:textId="77777777" w:rsidR="00040C3B" w:rsidRPr="000324A0" w:rsidRDefault="00040C3B" w:rsidP="0034014D">
            <w:pPr>
              <w:spacing w:line="240" w:lineRule="auto"/>
              <w:contextualSpacing/>
            </w:pPr>
            <w:r>
              <w:t>Aborted</w:t>
            </w:r>
          </w:p>
        </w:tc>
      </w:tr>
      <w:tr w:rsidR="00040C3B" w:rsidRPr="0077771B" w14:paraId="531B98E1" w14:textId="77777777" w:rsidTr="0034014D">
        <w:tc>
          <w:tcPr>
            <w:tcW w:w="2694" w:type="dxa"/>
            <w:shd w:val="clear" w:color="auto" w:fill="D9D9D9" w:themeFill="background1" w:themeFillShade="D9"/>
          </w:tcPr>
          <w:p w14:paraId="12D79BA0" w14:textId="77777777" w:rsidR="00040C3B" w:rsidRDefault="00040C3B" w:rsidP="0034014D">
            <w:pPr>
              <w:spacing w:line="240" w:lineRule="auto"/>
              <w:contextualSpacing/>
              <w:rPr>
                <w:b/>
              </w:rPr>
            </w:pPr>
            <w:r>
              <w:rPr>
                <w:b/>
              </w:rPr>
              <w:t>IMSANZ-RN OFFICE USE ONLY</w:t>
            </w:r>
          </w:p>
        </w:tc>
        <w:tc>
          <w:tcPr>
            <w:tcW w:w="7371" w:type="dxa"/>
            <w:shd w:val="clear" w:color="auto" w:fill="D9D9D9" w:themeFill="background1" w:themeFillShade="D9"/>
          </w:tcPr>
          <w:p w14:paraId="747A1746" w14:textId="77777777" w:rsidR="00040C3B" w:rsidRPr="00273122" w:rsidRDefault="00040C3B" w:rsidP="0034014D">
            <w:pPr>
              <w:spacing w:line="240" w:lineRule="auto"/>
              <w:contextualSpacing/>
              <w:rPr>
                <w:b/>
                <w:bCs/>
              </w:rPr>
            </w:pPr>
            <w:r w:rsidRPr="00273122">
              <w:rPr>
                <w:b/>
                <w:bCs/>
              </w:rPr>
              <w:t>APPROVED</w:t>
            </w:r>
          </w:p>
          <w:p w14:paraId="2BEAD504" w14:textId="77777777" w:rsidR="00040C3B" w:rsidRPr="00273122" w:rsidRDefault="00040C3B" w:rsidP="0034014D">
            <w:pPr>
              <w:spacing w:line="240" w:lineRule="auto"/>
              <w:contextualSpacing/>
              <w:rPr>
                <w:b/>
                <w:bCs/>
              </w:rPr>
            </w:pPr>
          </w:p>
          <w:p w14:paraId="6AFAC288" w14:textId="77777777" w:rsidR="00040C3B" w:rsidRDefault="00040C3B" w:rsidP="0034014D">
            <w:pPr>
              <w:spacing w:line="240" w:lineRule="auto"/>
              <w:contextualSpacing/>
              <w:rPr>
                <w:b/>
                <w:bCs/>
              </w:rPr>
            </w:pPr>
          </w:p>
          <w:p w14:paraId="3105D192" w14:textId="6B33BB37" w:rsidR="00040C3B" w:rsidRDefault="00040C3B" w:rsidP="0034014D">
            <w:pPr>
              <w:spacing w:line="240" w:lineRule="auto"/>
              <w:contextualSpacing/>
              <w:rPr>
                <w:b/>
                <w:bCs/>
              </w:rPr>
            </w:pPr>
            <w:r w:rsidRPr="00273122">
              <w:rPr>
                <w:b/>
                <w:bCs/>
              </w:rPr>
              <w:t>APPROVAL CATEGORY:</w:t>
            </w:r>
            <w:r w:rsidR="0053517E">
              <w:rPr>
                <w:b/>
                <w:bCs/>
              </w:rPr>
              <w:t xml:space="preserve"> ENDORSED STUDY</w:t>
            </w:r>
          </w:p>
          <w:p w14:paraId="474592C0" w14:textId="77777777" w:rsidR="00040C3B" w:rsidRPr="000324A0" w:rsidRDefault="00040C3B" w:rsidP="0034014D">
            <w:pPr>
              <w:spacing w:line="240" w:lineRule="auto"/>
              <w:contextualSpacing/>
            </w:pPr>
          </w:p>
        </w:tc>
      </w:tr>
    </w:tbl>
    <w:p w14:paraId="64C4D45D" w14:textId="77777777" w:rsidR="00040C3B" w:rsidRDefault="00040C3B" w:rsidP="00040C3B"/>
    <w:p w14:paraId="254542B9" w14:textId="77777777" w:rsidR="009E45E5" w:rsidRDefault="009E45E5"/>
    <w:sectPr w:rsidR="009E45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7407" w14:textId="77777777" w:rsidR="002B395A" w:rsidRDefault="002B395A" w:rsidP="009832C7">
      <w:pPr>
        <w:spacing w:after="0" w:line="240" w:lineRule="auto"/>
      </w:pPr>
      <w:r>
        <w:separator/>
      </w:r>
    </w:p>
  </w:endnote>
  <w:endnote w:type="continuationSeparator" w:id="0">
    <w:p w14:paraId="43A8637A" w14:textId="77777777" w:rsidR="002B395A" w:rsidRDefault="002B395A" w:rsidP="00983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FC05" w14:textId="77777777" w:rsidR="009832C7" w:rsidRDefault="00983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C6AF" w14:textId="1F808D3A" w:rsidR="009832C7" w:rsidRDefault="009832C7" w:rsidP="009832C7">
    <w:pPr>
      <w:pStyle w:val="Footer"/>
      <w:rPr>
        <w:color w:val="808080" w:themeColor="background1" w:themeShade="80"/>
      </w:rPr>
    </w:pPr>
    <w:r>
      <w:rPr>
        <w:color w:val="808080" w:themeColor="background1" w:themeShade="80"/>
      </w:rPr>
      <w:t>IMSANZ-RN Research Proposal Submission Form (2022)</w:t>
    </w:r>
  </w:p>
  <w:p w14:paraId="21752E39" w14:textId="77777777" w:rsidR="009832C7" w:rsidRDefault="009832C7" w:rsidP="009832C7">
    <w:pPr>
      <w:pStyle w:val="Footer"/>
      <w:rPr>
        <w:color w:val="808080" w:themeColor="background1" w:themeShade="80"/>
      </w:rPr>
    </w:pPr>
    <w:r>
      <w:rPr>
        <w:color w:val="808080" w:themeColor="background1" w:themeShade="80"/>
      </w:rPr>
      <w:t>Version 1.0, Approved by IMSANZ Board 12 Jan 2023</w:t>
    </w:r>
  </w:p>
  <w:p w14:paraId="34E538EB" w14:textId="04C8D24C" w:rsidR="009832C7" w:rsidRDefault="009832C7">
    <w:pPr>
      <w:pStyle w:val="Footer"/>
    </w:pPr>
  </w:p>
  <w:p w14:paraId="51FD149E" w14:textId="77777777" w:rsidR="009832C7" w:rsidRDefault="00983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CB22" w14:textId="77777777" w:rsidR="009832C7" w:rsidRDefault="00983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A094" w14:textId="77777777" w:rsidR="002B395A" w:rsidRDefault="002B395A" w:rsidP="009832C7">
      <w:pPr>
        <w:spacing w:after="0" w:line="240" w:lineRule="auto"/>
      </w:pPr>
      <w:r>
        <w:separator/>
      </w:r>
    </w:p>
  </w:footnote>
  <w:footnote w:type="continuationSeparator" w:id="0">
    <w:p w14:paraId="70EF5315" w14:textId="77777777" w:rsidR="002B395A" w:rsidRDefault="002B395A" w:rsidP="00983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3F3E" w14:textId="77777777" w:rsidR="009832C7" w:rsidRDefault="00983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5611" w14:textId="77777777" w:rsidR="009832C7" w:rsidRDefault="00983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6C5B" w14:textId="77777777" w:rsidR="009832C7" w:rsidRDefault="00983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DB0"/>
    <w:multiLevelType w:val="hybridMultilevel"/>
    <w:tmpl w:val="CF0A5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63BA5"/>
    <w:multiLevelType w:val="hybridMultilevel"/>
    <w:tmpl w:val="F8546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C04D0"/>
    <w:multiLevelType w:val="hybridMultilevel"/>
    <w:tmpl w:val="AABC8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F77D5C"/>
    <w:multiLevelType w:val="hybridMultilevel"/>
    <w:tmpl w:val="A40C0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A70D18"/>
    <w:multiLevelType w:val="hybridMultilevel"/>
    <w:tmpl w:val="2DA68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186905"/>
    <w:multiLevelType w:val="hybridMultilevel"/>
    <w:tmpl w:val="42123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23E42DA"/>
    <w:multiLevelType w:val="hybridMultilevel"/>
    <w:tmpl w:val="E56C1E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52497977">
    <w:abstractNumId w:val="5"/>
  </w:num>
  <w:num w:numId="2" w16cid:durableId="1137799313">
    <w:abstractNumId w:val="3"/>
  </w:num>
  <w:num w:numId="3" w16cid:durableId="973289736">
    <w:abstractNumId w:val="1"/>
  </w:num>
  <w:num w:numId="4" w16cid:durableId="561865883">
    <w:abstractNumId w:val="4"/>
  </w:num>
  <w:num w:numId="5" w16cid:durableId="522745673">
    <w:abstractNumId w:val="2"/>
  </w:num>
  <w:num w:numId="6" w16cid:durableId="1993362026">
    <w:abstractNumId w:val="0"/>
  </w:num>
  <w:num w:numId="7" w16cid:durableId="5180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3B"/>
    <w:rsid w:val="00040C3B"/>
    <w:rsid w:val="00161A00"/>
    <w:rsid w:val="001C144E"/>
    <w:rsid w:val="0029142F"/>
    <w:rsid w:val="002B395A"/>
    <w:rsid w:val="00334D1C"/>
    <w:rsid w:val="003D294C"/>
    <w:rsid w:val="0043108B"/>
    <w:rsid w:val="0053517E"/>
    <w:rsid w:val="005D39C6"/>
    <w:rsid w:val="00653724"/>
    <w:rsid w:val="009832C7"/>
    <w:rsid w:val="009E45E5"/>
    <w:rsid w:val="00AF6FCF"/>
    <w:rsid w:val="00B365F2"/>
    <w:rsid w:val="00E879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1940"/>
  <w15:chartTrackingRefBased/>
  <w15:docId w15:val="{4130D677-48D7-46DA-B008-EF6E2E40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C3B"/>
    <w:pPr>
      <w:ind w:left="720"/>
      <w:contextualSpacing/>
    </w:pPr>
  </w:style>
  <w:style w:type="paragraph" w:styleId="Header">
    <w:name w:val="header"/>
    <w:basedOn w:val="Normal"/>
    <w:link w:val="HeaderChar"/>
    <w:uiPriority w:val="99"/>
    <w:unhideWhenUsed/>
    <w:rsid w:val="00983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2C7"/>
  </w:style>
  <w:style w:type="paragraph" w:styleId="Footer">
    <w:name w:val="footer"/>
    <w:basedOn w:val="Normal"/>
    <w:link w:val="FooterChar"/>
    <w:uiPriority w:val="99"/>
    <w:unhideWhenUsed/>
    <w:rsid w:val="00983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8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Aung, Ar Kar</dc:creator>
  <cp:keywords/>
  <dc:description/>
  <cp:lastModifiedBy>Aung, Ar Kar</cp:lastModifiedBy>
  <cp:revision>3</cp:revision>
  <dcterms:created xsi:type="dcterms:W3CDTF">2023-06-06T03:53:00Z</dcterms:created>
  <dcterms:modified xsi:type="dcterms:W3CDTF">2024-01-18T02:18:00Z</dcterms:modified>
</cp:coreProperties>
</file>