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30697" w14:textId="6FC8A2DC" w:rsidR="008A310A" w:rsidRDefault="00040C3B" w:rsidP="00040C3B">
      <w:pPr>
        <w:jc w:val="both"/>
        <w:rPr>
          <w:b/>
          <w:bCs/>
        </w:rPr>
      </w:pPr>
      <w:r w:rsidRPr="00273122">
        <w:rPr>
          <w:b/>
          <w:bCs/>
        </w:rPr>
        <w:t>RESEARCH PROPOSAL SUBMISSION FORM</w:t>
      </w:r>
    </w:p>
    <w:p w14:paraId="096DBF69" w14:textId="078A8F24" w:rsidR="008A310A" w:rsidRPr="00273122" w:rsidRDefault="00420842" w:rsidP="00040C3B">
      <w:pPr>
        <w:jc w:val="both"/>
        <w:rPr>
          <w:b/>
          <w:bCs/>
        </w:rPr>
      </w:pPr>
      <w:r>
        <w:rPr>
          <w:b/>
          <w:bCs/>
        </w:rPr>
        <w:t xml:space="preserve">BY SUBMITTING THIS FORM, I AGREE TO HAVE MY RESEARCH PROPOSAL ASSESSED BY </w:t>
      </w:r>
      <w:r w:rsidR="00DA2809">
        <w:rPr>
          <w:b/>
          <w:bCs/>
        </w:rPr>
        <w:t xml:space="preserve">THE </w:t>
      </w:r>
      <w:r>
        <w:rPr>
          <w:b/>
          <w:bCs/>
        </w:rPr>
        <w:t xml:space="preserve">IMSANZ-RN </w:t>
      </w:r>
      <w:r w:rsidR="00DA2809">
        <w:rPr>
          <w:b/>
          <w:bCs/>
        </w:rPr>
        <w:t xml:space="preserve">STEERING COMMITTEE </w:t>
      </w:r>
      <w:r>
        <w:rPr>
          <w:b/>
          <w:bCs/>
        </w:rPr>
        <w:t xml:space="preserve">FOR ENDORSEMENT, IN ACCORDANCE WITH THE REQUIREMENTS AND CONDITIONS OUTLINED IN THE TERMS OF REFERENCE DOCUMENT. I ALSO CONSENT TO MY NAME AND CONTACT DETAILS </w:t>
      </w:r>
      <w:r w:rsidR="00D47D37">
        <w:rPr>
          <w:b/>
          <w:bCs/>
        </w:rPr>
        <w:t xml:space="preserve">BEING </w:t>
      </w:r>
      <w:r>
        <w:rPr>
          <w:b/>
          <w:bCs/>
        </w:rPr>
        <w:t xml:space="preserve">PUBLISHED ON THE RESEARCH MEMBERSHIP DIRECTORY OF IMSANZ-RN WEBSITE.  </w:t>
      </w:r>
    </w:p>
    <w:p w14:paraId="3987296C" w14:textId="77777777" w:rsidR="00040C3B" w:rsidRPr="003D159F" w:rsidRDefault="00040C3B" w:rsidP="00040C3B">
      <w:pPr>
        <w:jc w:val="both"/>
        <w:rPr>
          <w:b/>
          <w:bCs/>
        </w:rPr>
      </w:pPr>
      <w:r>
        <w:t xml:space="preserve"> </w:t>
      </w:r>
      <w:r>
        <w:rPr>
          <w:b/>
          <w:bCs/>
        </w:rPr>
        <w:t>STUDY SYNOPSIS (Maximum 1500 words)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040C3B" w:rsidRPr="0077771B" w14:paraId="47CC5136" w14:textId="77777777" w:rsidTr="0034014D">
        <w:tc>
          <w:tcPr>
            <w:tcW w:w="2694" w:type="dxa"/>
          </w:tcPr>
          <w:p w14:paraId="114CEE14" w14:textId="77777777" w:rsidR="00040C3B" w:rsidRPr="000324A0" w:rsidRDefault="00040C3B" w:rsidP="0034014D">
            <w:pPr>
              <w:spacing w:line="240" w:lineRule="auto"/>
              <w:contextualSpacing/>
              <w:rPr>
                <w:b/>
              </w:rPr>
            </w:pPr>
            <w:r w:rsidRPr="000324A0">
              <w:rPr>
                <w:b/>
              </w:rPr>
              <w:t>TITLE</w:t>
            </w:r>
          </w:p>
        </w:tc>
        <w:tc>
          <w:tcPr>
            <w:tcW w:w="7371" w:type="dxa"/>
          </w:tcPr>
          <w:p w14:paraId="362C80CB" w14:textId="4A6463E6" w:rsidR="00040C3B" w:rsidRPr="00B34B20" w:rsidRDefault="00D0486C" w:rsidP="00D0486C">
            <w:pPr>
              <w:spacing w:line="240" w:lineRule="auto"/>
              <w:contextualSpacing/>
            </w:pPr>
            <w:r w:rsidRPr="00B34B20">
              <w:t>Point-of-Care Ultrasound (POCUS): Reducing Hospital Length of Stay in Patients with Dyspnoea</w:t>
            </w:r>
          </w:p>
          <w:p w14:paraId="6455B9F8" w14:textId="77777777" w:rsidR="00040C3B" w:rsidRPr="000324A0" w:rsidRDefault="00040C3B" w:rsidP="0034014D">
            <w:pPr>
              <w:spacing w:line="240" w:lineRule="auto"/>
              <w:contextualSpacing/>
            </w:pPr>
          </w:p>
        </w:tc>
      </w:tr>
      <w:tr w:rsidR="00040C3B" w:rsidRPr="0077771B" w14:paraId="772E113A" w14:textId="77777777" w:rsidTr="0034014D">
        <w:tc>
          <w:tcPr>
            <w:tcW w:w="2694" w:type="dxa"/>
          </w:tcPr>
          <w:p w14:paraId="04545099" w14:textId="77777777" w:rsidR="00040C3B" w:rsidRPr="000324A0" w:rsidRDefault="00040C3B" w:rsidP="0034014D">
            <w:pPr>
              <w:spacing w:line="240" w:lineRule="auto"/>
              <w:contextualSpacing/>
              <w:rPr>
                <w:b/>
              </w:rPr>
            </w:pPr>
            <w:r>
              <w:rPr>
                <w:b/>
              </w:rPr>
              <w:t>PRINCIPAL INVESTIGATOR, AFFILIATIONS AND CONTACT DETAILS</w:t>
            </w:r>
          </w:p>
        </w:tc>
        <w:tc>
          <w:tcPr>
            <w:tcW w:w="7371" w:type="dxa"/>
          </w:tcPr>
          <w:p w14:paraId="31A4B81A" w14:textId="0CD76C3B" w:rsidR="00040C3B" w:rsidRPr="00C215ED" w:rsidRDefault="00C215ED" w:rsidP="00C215ED">
            <w:pPr>
              <w:pStyle w:val="ListParagraph"/>
              <w:numPr>
                <w:ilvl w:val="0"/>
                <w:numId w:val="1"/>
              </w:numPr>
              <w:spacing w:line="240" w:lineRule="auto"/>
              <w:rPr>
                <w:b/>
                <w:bCs/>
              </w:rPr>
            </w:pPr>
            <w:r w:rsidRPr="00C215ED">
              <w:rPr>
                <w:b/>
                <w:bCs/>
              </w:rPr>
              <w:t>Prof Colin Royse</w:t>
            </w:r>
            <w:r>
              <w:rPr>
                <w:b/>
                <w:bCs/>
              </w:rPr>
              <w:t xml:space="preserve"> (Chief Investigator A) </w:t>
            </w:r>
          </w:p>
          <w:p w14:paraId="5E7FCA8E" w14:textId="2AB50353" w:rsidR="00C215ED" w:rsidRDefault="00C215ED" w:rsidP="0034014D">
            <w:pPr>
              <w:spacing w:line="240" w:lineRule="auto"/>
              <w:contextualSpacing/>
            </w:pPr>
            <w:r>
              <w:t>University of Melbourne</w:t>
            </w:r>
          </w:p>
          <w:p w14:paraId="173791F8" w14:textId="08593C69" w:rsidR="00040C3B" w:rsidRDefault="00C215ED" w:rsidP="0034014D">
            <w:pPr>
              <w:spacing w:line="240" w:lineRule="auto"/>
              <w:contextualSpacing/>
            </w:pPr>
            <w:r>
              <w:t>Royal Melbourne Hospital</w:t>
            </w:r>
          </w:p>
          <w:p w14:paraId="49E78660" w14:textId="77777777" w:rsidR="00040C3B" w:rsidRDefault="00040C3B" w:rsidP="0034014D">
            <w:pPr>
              <w:spacing w:line="240" w:lineRule="auto"/>
              <w:contextualSpacing/>
            </w:pPr>
          </w:p>
          <w:p w14:paraId="132948A9" w14:textId="7E3FCCFA" w:rsidR="00C215ED" w:rsidRPr="00C215ED" w:rsidRDefault="00C215ED" w:rsidP="00C215ED">
            <w:pPr>
              <w:pStyle w:val="ListParagraph"/>
              <w:numPr>
                <w:ilvl w:val="0"/>
                <w:numId w:val="1"/>
              </w:numPr>
              <w:spacing w:line="240" w:lineRule="auto"/>
              <w:rPr>
                <w:b/>
                <w:bCs/>
                <w:lang w:val="es-ES"/>
              </w:rPr>
            </w:pPr>
            <w:r w:rsidRPr="00C215ED">
              <w:rPr>
                <w:b/>
                <w:bCs/>
                <w:lang w:val="es-ES"/>
              </w:rPr>
              <w:t xml:space="preserve">Ximena Cid-Serra </w:t>
            </w:r>
            <w:r>
              <w:rPr>
                <w:b/>
                <w:bCs/>
                <w:lang w:val="es-ES"/>
              </w:rPr>
              <w:t>(</w:t>
            </w:r>
            <w:proofErr w:type="spellStart"/>
            <w:r>
              <w:rPr>
                <w:b/>
                <w:bCs/>
                <w:lang w:val="es-ES"/>
              </w:rPr>
              <w:t>Chief</w:t>
            </w:r>
            <w:proofErr w:type="spellEnd"/>
            <w:r>
              <w:rPr>
                <w:b/>
                <w:bCs/>
                <w:lang w:val="es-ES"/>
              </w:rPr>
              <w:t xml:space="preserve"> </w:t>
            </w:r>
            <w:proofErr w:type="spellStart"/>
            <w:r>
              <w:rPr>
                <w:b/>
                <w:bCs/>
                <w:lang w:val="es-ES"/>
              </w:rPr>
              <w:t>investigator</w:t>
            </w:r>
            <w:proofErr w:type="spellEnd"/>
            <w:r>
              <w:rPr>
                <w:b/>
                <w:bCs/>
                <w:lang w:val="es-ES"/>
              </w:rPr>
              <w:t xml:space="preserve"> B)</w:t>
            </w:r>
          </w:p>
          <w:p w14:paraId="31D5382A" w14:textId="77777777" w:rsidR="00C215ED" w:rsidRDefault="00C215ED" w:rsidP="00C215ED">
            <w:pPr>
              <w:spacing w:line="240" w:lineRule="auto"/>
              <w:contextualSpacing/>
            </w:pPr>
            <w:r>
              <w:t>University of Melbourne</w:t>
            </w:r>
          </w:p>
          <w:p w14:paraId="5BD862A5" w14:textId="77777777" w:rsidR="00C215ED" w:rsidRDefault="00C215ED" w:rsidP="00C215ED">
            <w:pPr>
              <w:spacing w:line="240" w:lineRule="auto"/>
              <w:contextualSpacing/>
            </w:pPr>
            <w:r>
              <w:t>Royal Melbourne Hospital</w:t>
            </w:r>
          </w:p>
          <w:p w14:paraId="0AB9371A" w14:textId="507F921D" w:rsidR="00C215ED" w:rsidRDefault="00000000" w:rsidP="00C215ED">
            <w:pPr>
              <w:spacing w:line="240" w:lineRule="auto"/>
              <w:contextualSpacing/>
            </w:pPr>
            <w:hyperlink r:id="rId7" w:history="1">
              <w:r w:rsidR="00C215ED" w:rsidRPr="00AB5211">
                <w:rPr>
                  <w:rStyle w:val="Hyperlink"/>
                </w:rPr>
                <w:t>X.cidserra@unimelb.edu.au</w:t>
              </w:r>
            </w:hyperlink>
          </w:p>
          <w:p w14:paraId="6B74F9A1" w14:textId="0FD04EB1" w:rsidR="00040C3B" w:rsidRDefault="00C215ED" w:rsidP="0034014D">
            <w:pPr>
              <w:spacing w:line="240" w:lineRule="auto"/>
              <w:contextualSpacing/>
            </w:pPr>
            <w:r>
              <w:t>Ph 0455532676</w:t>
            </w:r>
          </w:p>
          <w:p w14:paraId="0199751A" w14:textId="77777777" w:rsidR="00040C3B" w:rsidRPr="000324A0" w:rsidRDefault="00040C3B" w:rsidP="0034014D">
            <w:pPr>
              <w:spacing w:line="240" w:lineRule="auto"/>
              <w:contextualSpacing/>
            </w:pPr>
          </w:p>
        </w:tc>
      </w:tr>
      <w:tr w:rsidR="00040C3B" w:rsidRPr="0077771B" w14:paraId="6C9957D2" w14:textId="77777777" w:rsidTr="0034014D">
        <w:tc>
          <w:tcPr>
            <w:tcW w:w="2694" w:type="dxa"/>
          </w:tcPr>
          <w:p w14:paraId="3D57D369" w14:textId="77777777" w:rsidR="00040C3B" w:rsidRDefault="00040C3B" w:rsidP="0034014D">
            <w:pPr>
              <w:spacing w:line="240" w:lineRule="auto"/>
              <w:contextualSpacing/>
              <w:rPr>
                <w:b/>
              </w:rPr>
            </w:pPr>
            <w:r>
              <w:rPr>
                <w:b/>
              </w:rPr>
              <w:t>ASSOCIATE INVESTIGATORS AND AFFILIATIONS</w:t>
            </w:r>
          </w:p>
        </w:tc>
        <w:tc>
          <w:tcPr>
            <w:tcW w:w="7371" w:type="dxa"/>
          </w:tcPr>
          <w:p w14:paraId="225F88E1" w14:textId="77777777" w:rsidR="00040C3B" w:rsidRDefault="00040C3B" w:rsidP="0034014D">
            <w:pPr>
              <w:spacing w:line="240" w:lineRule="auto"/>
              <w:contextualSpacing/>
            </w:pPr>
          </w:p>
          <w:p w14:paraId="368C26D2" w14:textId="65979E0F" w:rsidR="00C215ED" w:rsidRPr="00B75983" w:rsidRDefault="00C215ED" w:rsidP="00C215ED">
            <w:pPr>
              <w:pStyle w:val="ListParagraph"/>
              <w:numPr>
                <w:ilvl w:val="0"/>
                <w:numId w:val="2"/>
              </w:numPr>
              <w:spacing w:line="240" w:lineRule="auto"/>
            </w:pPr>
            <w:r w:rsidRPr="00B75983">
              <w:t xml:space="preserve"> </w:t>
            </w:r>
            <w:r w:rsidR="00B75983" w:rsidRPr="00B75983">
              <w:t xml:space="preserve">Daniel Sessler </w:t>
            </w:r>
            <w:r w:rsidRPr="00B75983">
              <w:t>(Clinical Trialist)</w:t>
            </w:r>
            <w:r w:rsidR="00B75983" w:rsidRPr="00B75983">
              <w:t>- Cleveland Clini</w:t>
            </w:r>
            <w:r w:rsidR="00B75983">
              <w:t>c</w:t>
            </w:r>
          </w:p>
          <w:p w14:paraId="22BB8BB6" w14:textId="6BE1B06D" w:rsidR="00B75983" w:rsidRPr="00B75983" w:rsidRDefault="00B75983" w:rsidP="00C215ED">
            <w:pPr>
              <w:pStyle w:val="ListParagraph"/>
              <w:numPr>
                <w:ilvl w:val="0"/>
                <w:numId w:val="2"/>
              </w:numPr>
              <w:spacing w:line="240" w:lineRule="auto"/>
            </w:pPr>
            <w:r w:rsidRPr="00B75983">
              <w:t xml:space="preserve">Daniel Steinfort – University of Melbourne and </w:t>
            </w:r>
            <w:r>
              <w:t>Melbourne Health</w:t>
            </w:r>
          </w:p>
          <w:p w14:paraId="16715867" w14:textId="3B335C70" w:rsidR="00B75983" w:rsidRPr="00B75983" w:rsidRDefault="00B75983" w:rsidP="00C215ED">
            <w:pPr>
              <w:pStyle w:val="ListParagraph"/>
              <w:numPr>
                <w:ilvl w:val="0"/>
                <w:numId w:val="2"/>
              </w:numPr>
              <w:spacing w:line="240" w:lineRule="auto"/>
            </w:pPr>
            <w:r w:rsidRPr="00B75983">
              <w:t>Andrea Bowyer- University of Melbourne</w:t>
            </w:r>
            <w:r>
              <w:t xml:space="preserve"> and Melbourne Health</w:t>
            </w:r>
          </w:p>
          <w:p w14:paraId="39BA0993" w14:textId="28880236" w:rsidR="00C215ED" w:rsidRDefault="00C215ED" w:rsidP="00C215ED">
            <w:pPr>
              <w:pStyle w:val="ListParagraph"/>
              <w:numPr>
                <w:ilvl w:val="0"/>
                <w:numId w:val="2"/>
              </w:numPr>
              <w:spacing w:line="240" w:lineRule="auto"/>
            </w:pPr>
            <w:r>
              <w:t xml:space="preserve">Guy </w:t>
            </w:r>
            <w:proofErr w:type="spellStart"/>
            <w:r>
              <w:t>Ludbrook</w:t>
            </w:r>
            <w:proofErr w:type="spellEnd"/>
            <w:r>
              <w:t xml:space="preserve"> (health economics)</w:t>
            </w:r>
          </w:p>
          <w:p w14:paraId="310E2A97" w14:textId="45BEAD70" w:rsidR="00C215ED" w:rsidRDefault="00C215ED" w:rsidP="00C215ED">
            <w:pPr>
              <w:pStyle w:val="ListParagraph"/>
              <w:numPr>
                <w:ilvl w:val="0"/>
                <w:numId w:val="2"/>
              </w:numPr>
              <w:spacing w:line="240" w:lineRule="auto"/>
            </w:pPr>
            <w:r>
              <w:t xml:space="preserve">Jeremy Silver (statistician) </w:t>
            </w:r>
          </w:p>
          <w:p w14:paraId="0784A2B3" w14:textId="4BF1A87D" w:rsidR="00C215ED" w:rsidRDefault="00C215ED" w:rsidP="00C215ED">
            <w:pPr>
              <w:pStyle w:val="ListParagraph"/>
              <w:numPr>
                <w:ilvl w:val="0"/>
                <w:numId w:val="2"/>
              </w:numPr>
              <w:spacing w:line="240" w:lineRule="auto"/>
            </w:pPr>
            <w:r>
              <w:t>Lindsay Bridgford (Eastern Health / University of Melbourne)</w:t>
            </w:r>
          </w:p>
          <w:p w14:paraId="37BFEBCC" w14:textId="3DB63304" w:rsidR="00B75983" w:rsidRDefault="00B75983" w:rsidP="00C215ED">
            <w:pPr>
              <w:pStyle w:val="ListParagraph"/>
              <w:numPr>
                <w:ilvl w:val="0"/>
                <w:numId w:val="2"/>
              </w:numPr>
              <w:spacing w:line="240" w:lineRule="auto"/>
            </w:pPr>
            <w:r>
              <w:t>James Wong -Melbourne Health</w:t>
            </w:r>
          </w:p>
          <w:p w14:paraId="1469E953" w14:textId="3C1EABC0" w:rsidR="00B75983" w:rsidRDefault="00B75983" w:rsidP="00B75983">
            <w:pPr>
              <w:pStyle w:val="ListParagraph"/>
              <w:numPr>
                <w:ilvl w:val="0"/>
                <w:numId w:val="2"/>
              </w:numPr>
              <w:spacing w:line="240" w:lineRule="auto"/>
            </w:pPr>
            <w:r>
              <w:t>Douglas Johnson -Melbourne Health)</w:t>
            </w:r>
          </w:p>
          <w:p w14:paraId="7182CF45" w14:textId="43B8BB83" w:rsidR="00B75983" w:rsidRDefault="00B75983" w:rsidP="00C215ED">
            <w:pPr>
              <w:pStyle w:val="ListParagraph"/>
              <w:numPr>
                <w:ilvl w:val="0"/>
                <w:numId w:val="2"/>
              </w:numPr>
              <w:spacing w:line="240" w:lineRule="auto"/>
            </w:pPr>
            <w:r>
              <w:t>Elizabeth Potter-Monash Health</w:t>
            </w:r>
          </w:p>
          <w:p w14:paraId="4A3B9433" w14:textId="51EB3569" w:rsidR="00B75983" w:rsidRDefault="00B75983" w:rsidP="00B75983">
            <w:pPr>
              <w:pStyle w:val="ListParagraph"/>
              <w:numPr>
                <w:ilvl w:val="0"/>
                <w:numId w:val="2"/>
              </w:numPr>
              <w:spacing w:line="240" w:lineRule="auto"/>
            </w:pPr>
            <w:r>
              <w:t xml:space="preserve">Harry Gibbs- Alfred Health </w:t>
            </w:r>
          </w:p>
          <w:p w14:paraId="06625737" w14:textId="6EC18E11" w:rsidR="00C215ED" w:rsidRDefault="00C215ED" w:rsidP="00C215ED">
            <w:pPr>
              <w:pStyle w:val="ListParagraph"/>
              <w:numPr>
                <w:ilvl w:val="0"/>
                <w:numId w:val="2"/>
              </w:numPr>
              <w:spacing w:line="240" w:lineRule="auto"/>
            </w:pPr>
            <w:r>
              <w:t>Ken Tan (Eastern Health)</w:t>
            </w:r>
          </w:p>
          <w:p w14:paraId="157544B8" w14:textId="1EB1EE40" w:rsidR="00C215ED" w:rsidRDefault="00C215ED" w:rsidP="00C215ED">
            <w:pPr>
              <w:pStyle w:val="ListParagraph"/>
              <w:numPr>
                <w:ilvl w:val="0"/>
                <w:numId w:val="2"/>
              </w:numPr>
              <w:spacing w:line="240" w:lineRule="auto"/>
            </w:pPr>
            <w:r>
              <w:t>Harry Gibbs (Alfred Health)</w:t>
            </w:r>
          </w:p>
          <w:p w14:paraId="74EA19A3" w14:textId="43AD4389" w:rsidR="00B75983" w:rsidRDefault="00B75983" w:rsidP="00C215ED">
            <w:pPr>
              <w:pStyle w:val="ListParagraph"/>
              <w:numPr>
                <w:ilvl w:val="0"/>
                <w:numId w:val="2"/>
              </w:numPr>
              <w:spacing w:line="240" w:lineRule="auto"/>
            </w:pPr>
            <w:r>
              <w:t xml:space="preserve">Guy </w:t>
            </w:r>
            <w:proofErr w:type="spellStart"/>
            <w:r>
              <w:t>Ludbrook</w:t>
            </w:r>
            <w:proofErr w:type="spellEnd"/>
            <w:r>
              <w:t xml:space="preserve"> (Health economist)- University of Adelaide</w:t>
            </w:r>
          </w:p>
          <w:p w14:paraId="5BD082B2" w14:textId="33C4338E" w:rsidR="00B75983" w:rsidRDefault="00B75983" w:rsidP="00C215ED">
            <w:pPr>
              <w:pStyle w:val="ListParagraph"/>
              <w:numPr>
                <w:ilvl w:val="0"/>
                <w:numId w:val="2"/>
              </w:numPr>
              <w:spacing w:line="240" w:lineRule="auto"/>
            </w:pPr>
            <w:r>
              <w:t>Lindsay Bridgford- University of Melbourne</w:t>
            </w:r>
          </w:p>
          <w:p w14:paraId="12EE3157" w14:textId="49315CB8" w:rsidR="00B75983" w:rsidRDefault="00B75983" w:rsidP="00C215ED">
            <w:pPr>
              <w:pStyle w:val="ListParagraph"/>
              <w:numPr>
                <w:ilvl w:val="0"/>
                <w:numId w:val="2"/>
              </w:numPr>
              <w:spacing w:line="240" w:lineRule="auto"/>
            </w:pPr>
            <w:r>
              <w:t>Jeremy Silver (statistician)- University of Melbourne</w:t>
            </w:r>
          </w:p>
          <w:p w14:paraId="5FAD4B6D" w14:textId="55241334" w:rsidR="00B75983" w:rsidRDefault="00B75983" w:rsidP="00B75983">
            <w:pPr>
              <w:pStyle w:val="ListParagraph"/>
              <w:numPr>
                <w:ilvl w:val="0"/>
                <w:numId w:val="2"/>
              </w:numPr>
              <w:spacing w:line="240" w:lineRule="auto"/>
            </w:pPr>
            <w:r>
              <w:t>Kavi Haji- Peninsula Health</w:t>
            </w:r>
          </w:p>
          <w:p w14:paraId="2D2056AA" w14:textId="661893B8" w:rsidR="00B75983" w:rsidRDefault="00B75983" w:rsidP="00B75983">
            <w:pPr>
              <w:pStyle w:val="ListParagraph"/>
              <w:numPr>
                <w:ilvl w:val="0"/>
                <w:numId w:val="2"/>
              </w:numPr>
              <w:spacing w:line="240" w:lineRule="auto"/>
            </w:pPr>
            <w:r>
              <w:t>Dersim Haji- Peninsula Health</w:t>
            </w:r>
          </w:p>
          <w:p w14:paraId="778AA5E2" w14:textId="158F5704" w:rsidR="00B75983" w:rsidRDefault="00B75983" w:rsidP="00B75983">
            <w:pPr>
              <w:pStyle w:val="ListParagraph"/>
              <w:numPr>
                <w:ilvl w:val="0"/>
                <w:numId w:val="2"/>
              </w:numPr>
              <w:spacing w:line="240" w:lineRule="auto"/>
            </w:pPr>
            <w:r>
              <w:t>Jessica Yao- Melbourne Health</w:t>
            </w:r>
          </w:p>
          <w:p w14:paraId="133E59B0" w14:textId="34D6701C" w:rsidR="00B75983" w:rsidRDefault="00B75983" w:rsidP="00B75983">
            <w:pPr>
              <w:pStyle w:val="ListParagraph"/>
              <w:numPr>
                <w:ilvl w:val="0"/>
                <w:numId w:val="2"/>
              </w:numPr>
              <w:spacing w:line="240" w:lineRule="auto"/>
            </w:pPr>
            <w:r>
              <w:t>David Tian- University of Adelaide</w:t>
            </w:r>
          </w:p>
          <w:p w14:paraId="55708C9F" w14:textId="04E8E27A" w:rsidR="00B75983" w:rsidRDefault="00B75983" w:rsidP="00B75983">
            <w:pPr>
              <w:pStyle w:val="ListParagraph"/>
              <w:numPr>
                <w:ilvl w:val="0"/>
                <w:numId w:val="2"/>
              </w:numPr>
              <w:spacing w:line="240" w:lineRule="auto"/>
            </w:pPr>
            <w:r>
              <w:t xml:space="preserve">Nicolas </w:t>
            </w:r>
            <w:proofErr w:type="spellStart"/>
            <w:r w:rsidRPr="00B75983">
              <w:t>Szecket</w:t>
            </w:r>
            <w:proofErr w:type="spellEnd"/>
            <w:r>
              <w:t xml:space="preserve"> – Auckland City Hospital</w:t>
            </w:r>
          </w:p>
          <w:p w14:paraId="5FE6A0FB" w14:textId="77777777" w:rsidR="00040C3B" w:rsidRDefault="00040C3B" w:rsidP="0034014D">
            <w:pPr>
              <w:spacing w:line="240" w:lineRule="auto"/>
              <w:contextualSpacing/>
            </w:pPr>
          </w:p>
          <w:p w14:paraId="2DBAA6AF" w14:textId="77777777" w:rsidR="00040C3B" w:rsidRPr="000324A0" w:rsidRDefault="00040C3B" w:rsidP="0034014D">
            <w:pPr>
              <w:spacing w:line="240" w:lineRule="auto"/>
              <w:contextualSpacing/>
            </w:pPr>
          </w:p>
        </w:tc>
      </w:tr>
      <w:tr w:rsidR="00040C3B" w:rsidRPr="0077771B" w14:paraId="319BFBA3" w14:textId="77777777" w:rsidTr="0034014D">
        <w:tc>
          <w:tcPr>
            <w:tcW w:w="2694" w:type="dxa"/>
          </w:tcPr>
          <w:p w14:paraId="2C76F8A3" w14:textId="77777777" w:rsidR="00040C3B" w:rsidRDefault="00040C3B" w:rsidP="0034014D">
            <w:pPr>
              <w:spacing w:line="240" w:lineRule="auto"/>
              <w:contextualSpacing/>
              <w:rPr>
                <w:b/>
              </w:rPr>
            </w:pPr>
            <w:r>
              <w:rPr>
                <w:b/>
              </w:rPr>
              <w:t xml:space="preserve">IS THIS STUDY CURRENTLY A MULTICENTRE STUDY? </w:t>
            </w:r>
            <w:r>
              <w:rPr>
                <w:b/>
              </w:rPr>
              <w:lastRenderedPageBreak/>
              <w:t>(I.E. INVOLVEMENT OF MORE THAN ONE HEALTH SERVICES OR JURISDICTION)</w:t>
            </w:r>
          </w:p>
        </w:tc>
        <w:tc>
          <w:tcPr>
            <w:tcW w:w="7371" w:type="dxa"/>
          </w:tcPr>
          <w:p w14:paraId="6B2D4739" w14:textId="3D10BA2E" w:rsidR="00040C3B" w:rsidRPr="00093CE1" w:rsidRDefault="00040C3B" w:rsidP="0034014D">
            <w:pPr>
              <w:spacing w:line="240" w:lineRule="auto"/>
              <w:contextualSpacing/>
              <w:rPr>
                <w:b/>
                <w:bCs/>
              </w:rPr>
            </w:pPr>
            <w:r w:rsidRPr="00093CE1">
              <w:rPr>
                <w:b/>
                <w:bCs/>
              </w:rPr>
              <w:lastRenderedPageBreak/>
              <w:t>YES</w:t>
            </w:r>
            <w:r w:rsidR="00C215ED">
              <w:rPr>
                <w:b/>
                <w:bCs/>
              </w:rPr>
              <w:t>: X</w:t>
            </w:r>
          </w:p>
          <w:p w14:paraId="431256E2" w14:textId="77777777" w:rsidR="00040C3B" w:rsidRPr="000324A0" w:rsidRDefault="00040C3B" w:rsidP="0034014D">
            <w:pPr>
              <w:spacing w:line="240" w:lineRule="auto"/>
              <w:contextualSpacing/>
            </w:pPr>
            <w:r w:rsidRPr="00093CE1">
              <w:rPr>
                <w:b/>
                <w:bCs/>
              </w:rPr>
              <w:t>NO</w:t>
            </w:r>
          </w:p>
        </w:tc>
      </w:tr>
      <w:tr w:rsidR="00040C3B" w:rsidRPr="0077771B" w14:paraId="240101A1" w14:textId="77777777" w:rsidTr="0034014D">
        <w:tc>
          <w:tcPr>
            <w:tcW w:w="2694" w:type="dxa"/>
          </w:tcPr>
          <w:p w14:paraId="48116665" w14:textId="77777777" w:rsidR="00040C3B" w:rsidRDefault="00040C3B" w:rsidP="0034014D">
            <w:pPr>
              <w:spacing w:line="240" w:lineRule="auto"/>
              <w:contextualSpacing/>
              <w:rPr>
                <w:b/>
              </w:rPr>
            </w:pPr>
            <w:r>
              <w:rPr>
                <w:b/>
              </w:rPr>
              <w:t>ARE YOU LOOKING FOR OPPORTUNITIES FOR MULTICENTRE COLLABORATION?</w:t>
            </w:r>
          </w:p>
        </w:tc>
        <w:tc>
          <w:tcPr>
            <w:tcW w:w="7371" w:type="dxa"/>
          </w:tcPr>
          <w:p w14:paraId="5E9203C9" w14:textId="26B4C64E" w:rsidR="00040C3B" w:rsidRDefault="00040C3B" w:rsidP="0034014D">
            <w:pPr>
              <w:spacing w:line="240" w:lineRule="auto"/>
              <w:contextualSpacing/>
              <w:rPr>
                <w:b/>
                <w:bCs/>
              </w:rPr>
            </w:pPr>
            <w:r>
              <w:rPr>
                <w:b/>
                <w:bCs/>
              </w:rPr>
              <w:t>YES</w:t>
            </w:r>
            <w:r w:rsidR="00C215ED">
              <w:rPr>
                <w:b/>
                <w:bCs/>
              </w:rPr>
              <w:t>: X</w:t>
            </w:r>
          </w:p>
          <w:p w14:paraId="22A820B8" w14:textId="77777777" w:rsidR="00040C3B" w:rsidRDefault="00040C3B" w:rsidP="0034014D">
            <w:pPr>
              <w:spacing w:line="240" w:lineRule="auto"/>
              <w:contextualSpacing/>
              <w:rPr>
                <w:b/>
                <w:bCs/>
              </w:rPr>
            </w:pPr>
            <w:r>
              <w:rPr>
                <w:b/>
                <w:bCs/>
              </w:rPr>
              <w:t>NO</w:t>
            </w:r>
          </w:p>
          <w:p w14:paraId="26FBFF7F" w14:textId="77777777" w:rsidR="00040C3B" w:rsidRDefault="00040C3B" w:rsidP="0034014D">
            <w:pPr>
              <w:spacing w:line="240" w:lineRule="auto"/>
              <w:contextualSpacing/>
              <w:rPr>
                <w:b/>
                <w:bCs/>
              </w:rPr>
            </w:pPr>
          </w:p>
          <w:p w14:paraId="2C857E02" w14:textId="77777777" w:rsidR="00040C3B" w:rsidRDefault="00040C3B" w:rsidP="0034014D">
            <w:pPr>
              <w:spacing w:line="240" w:lineRule="auto"/>
              <w:contextualSpacing/>
              <w:rPr>
                <w:b/>
                <w:bCs/>
              </w:rPr>
            </w:pPr>
          </w:p>
          <w:p w14:paraId="183FE886" w14:textId="77777777" w:rsidR="00040C3B" w:rsidRDefault="00040C3B" w:rsidP="0034014D">
            <w:pPr>
              <w:spacing w:line="240" w:lineRule="auto"/>
              <w:contextualSpacing/>
              <w:rPr>
                <w:b/>
                <w:bCs/>
              </w:rPr>
            </w:pPr>
          </w:p>
          <w:p w14:paraId="66C80F54" w14:textId="77777777" w:rsidR="00040C3B" w:rsidRPr="00093CE1" w:rsidRDefault="00040C3B" w:rsidP="0034014D">
            <w:pPr>
              <w:spacing w:line="240" w:lineRule="auto"/>
              <w:contextualSpacing/>
              <w:rPr>
                <w:b/>
                <w:bCs/>
              </w:rPr>
            </w:pPr>
          </w:p>
        </w:tc>
      </w:tr>
      <w:tr w:rsidR="00040C3B" w:rsidRPr="0077771B" w14:paraId="732BB094" w14:textId="77777777" w:rsidTr="0034014D">
        <w:tc>
          <w:tcPr>
            <w:tcW w:w="2694" w:type="dxa"/>
          </w:tcPr>
          <w:p w14:paraId="55A8377B" w14:textId="77777777" w:rsidR="00040C3B" w:rsidRDefault="00040C3B" w:rsidP="0034014D">
            <w:pPr>
              <w:spacing w:line="240" w:lineRule="auto"/>
              <w:contextualSpacing/>
              <w:rPr>
                <w:b/>
              </w:rPr>
            </w:pPr>
            <w:r>
              <w:rPr>
                <w:b/>
              </w:rPr>
              <w:t>IF ‘YES’ TO QUESTION ABOVE, CAN INTERESTED COLLABORATORS CONTACT YOU DIRECTLY?</w:t>
            </w:r>
          </w:p>
          <w:p w14:paraId="31655A27" w14:textId="77777777" w:rsidR="00040C3B" w:rsidRDefault="00040C3B" w:rsidP="0034014D">
            <w:pPr>
              <w:spacing w:line="240" w:lineRule="auto"/>
              <w:contextualSpacing/>
              <w:rPr>
                <w:b/>
              </w:rPr>
            </w:pPr>
          </w:p>
        </w:tc>
        <w:tc>
          <w:tcPr>
            <w:tcW w:w="7371" w:type="dxa"/>
          </w:tcPr>
          <w:p w14:paraId="1840564C" w14:textId="72FE0EA2" w:rsidR="00040C3B" w:rsidRDefault="00040C3B" w:rsidP="0034014D">
            <w:pPr>
              <w:spacing w:line="240" w:lineRule="auto"/>
              <w:contextualSpacing/>
              <w:rPr>
                <w:b/>
                <w:bCs/>
              </w:rPr>
            </w:pPr>
            <w:r>
              <w:rPr>
                <w:b/>
                <w:bCs/>
              </w:rPr>
              <w:t>YES</w:t>
            </w:r>
            <w:r w:rsidR="00C215ED">
              <w:rPr>
                <w:b/>
                <w:bCs/>
              </w:rPr>
              <w:t>: X</w:t>
            </w:r>
          </w:p>
          <w:p w14:paraId="773B6A10" w14:textId="77777777" w:rsidR="00040C3B" w:rsidRDefault="00040C3B" w:rsidP="0034014D">
            <w:pPr>
              <w:spacing w:line="240" w:lineRule="auto"/>
              <w:contextualSpacing/>
              <w:rPr>
                <w:b/>
                <w:bCs/>
              </w:rPr>
            </w:pPr>
            <w:r>
              <w:rPr>
                <w:b/>
                <w:bCs/>
              </w:rPr>
              <w:t>NO</w:t>
            </w:r>
          </w:p>
          <w:p w14:paraId="3D60DA74" w14:textId="77777777" w:rsidR="00040C3B" w:rsidRDefault="00040C3B" w:rsidP="0034014D">
            <w:pPr>
              <w:spacing w:line="240" w:lineRule="auto"/>
              <w:contextualSpacing/>
              <w:rPr>
                <w:b/>
                <w:bCs/>
              </w:rPr>
            </w:pPr>
          </w:p>
          <w:p w14:paraId="47A96AAF" w14:textId="77777777" w:rsidR="00040C3B" w:rsidRDefault="00040C3B" w:rsidP="0034014D">
            <w:pPr>
              <w:spacing w:line="240" w:lineRule="auto"/>
              <w:contextualSpacing/>
              <w:rPr>
                <w:b/>
                <w:bCs/>
              </w:rPr>
            </w:pPr>
          </w:p>
          <w:p w14:paraId="496E8D8C" w14:textId="77777777" w:rsidR="00040C3B" w:rsidRDefault="00040C3B" w:rsidP="0034014D">
            <w:pPr>
              <w:spacing w:line="240" w:lineRule="auto"/>
              <w:contextualSpacing/>
              <w:rPr>
                <w:b/>
                <w:bCs/>
              </w:rPr>
            </w:pPr>
          </w:p>
          <w:p w14:paraId="313902C3" w14:textId="77777777" w:rsidR="00040C3B" w:rsidRDefault="00040C3B" w:rsidP="0034014D">
            <w:pPr>
              <w:spacing w:line="240" w:lineRule="auto"/>
              <w:contextualSpacing/>
              <w:rPr>
                <w:b/>
                <w:bCs/>
              </w:rPr>
            </w:pPr>
          </w:p>
        </w:tc>
      </w:tr>
      <w:tr w:rsidR="00040C3B" w:rsidRPr="0077771B" w14:paraId="1F2DB2BB" w14:textId="77777777" w:rsidTr="0034014D">
        <w:tc>
          <w:tcPr>
            <w:tcW w:w="2694" w:type="dxa"/>
          </w:tcPr>
          <w:p w14:paraId="6E221161" w14:textId="77777777" w:rsidR="00040C3B" w:rsidRPr="000324A0" w:rsidRDefault="00040C3B" w:rsidP="0034014D">
            <w:pPr>
              <w:spacing w:line="240" w:lineRule="auto"/>
              <w:contextualSpacing/>
              <w:rPr>
                <w:b/>
              </w:rPr>
            </w:pPr>
            <w:r w:rsidRPr="000324A0">
              <w:rPr>
                <w:b/>
              </w:rPr>
              <w:t>BACKGROUND</w:t>
            </w:r>
          </w:p>
        </w:tc>
        <w:tc>
          <w:tcPr>
            <w:tcW w:w="7371" w:type="dxa"/>
          </w:tcPr>
          <w:p w14:paraId="2C019A92" w14:textId="0E9E2B3E" w:rsidR="00040C3B" w:rsidRDefault="00C215ED" w:rsidP="0034014D">
            <w:pPr>
              <w:autoSpaceDE w:val="0"/>
              <w:autoSpaceDN w:val="0"/>
              <w:adjustRightInd w:val="0"/>
              <w:spacing w:line="240" w:lineRule="auto"/>
              <w:contextualSpacing/>
            </w:pPr>
            <w:r w:rsidRPr="00C215ED">
              <w:t xml:space="preserve">Dyspnoea is the medical term for shortness of breath. As a common and distressing condition among older adults, it leads to hospital admissions, resultant adverse events and increasing costs to the healthcare system. Despite rigorous efforts, accurately identifying the underlying cause is often problematic, contributing to prolonged hospital stays and adverse patient outcomes. Current practice relies heavily on clinical assessment and chest x-rays with poor diagnostic outcomes. Point of Care </w:t>
            </w:r>
            <w:proofErr w:type="spellStart"/>
            <w:r w:rsidRPr="00C215ED">
              <w:t>UltraSound</w:t>
            </w:r>
            <w:proofErr w:type="spellEnd"/>
            <w:r w:rsidRPr="00C215ED">
              <w:t xml:space="preserve"> (POCUS) is a bedside ultrasound with the propensity to provide valuable insights for the diagnostic process. In a pilot trial, we show POCUS real-time assessment of cardiac, pulmonary, and vascular structures improved clinical decision making and reduced hospital stay in patients admitted to general medicine. This work proposes a multicentre randomised controlled trial to assess the impact of POCUS on dyspnoeic patients aged &gt;65. Building on strong pilot data, this work will elucidate the utility of POCUS specifically on elderly dyspnoea patients and generate evidence to improve diagnostic and management options for all patients presenting with dyspnoea.</w:t>
            </w:r>
          </w:p>
          <w:p w14:paraId="60C275CA" w14:textId="77777777" w:rsidR="00040C3B" w:rsidRPr="000324A0" w:rsidRDefault="00040C3B" w:rsidP="0034014D">
            <w:pPr>
              <w:autoSpaceDE w:val="0"/>
              <w:autoSpaceDN w:val="0"/>
              <w:adjustRightInd w:val="0"/>
              <w:spacing w:line="240" w:lineRule="auto"/>
              <w:contextualSpacing/>
            </w:pPr>
          </w:p>
        </w:tc>
      </w:tr>
      <w:tr w:rsidR="00040C3B" w:rsidRPr="0077771B" w14:paraId="0D77817B" w14:textId="77777777" w:rsidTr="0034014D">
        <w:tc>
          <w:tcPr>
            <w:tcW w:w="2694" w:type="dxa"/>
          </w:tcPr>
          <w:p w14:paraId="372E7C70" w14:textId="77777777" w:rsidR="00040C3B" w:rsidRPr="000324A0" w:rsidRDefault="00040C3B" w:rsidP="0034014D">
            <w:pPr>
              <w:spacing w:line="240" w:lineRule="auto"/>
              <w:contextualSpacing/>
              <w:rPr>
                <w:b/>
              </w:rPr>
            </w:pPr>
            <w:r>
              <w:rPr>
                <w:b/>
              </w:rPr>
              <w:t>RESEARCH QUESTION/HYPOTHESIS</w:t>
            </w:r>
          </w:p>
        </w:tc>
        <w:tc>
          <w:tcPr>
            <w:tcW w:w="7371" w:type="dxa"/>
          </w:tcPr>
          <w:p w14:paraId="05FFD622" w14:textId="77777777" w:rsidR="00C215ED" w:rsidRDefault="00C215ED" w:rsidP="00C215ED">
            <w:pPr>
              <w:autoSpaceDE w:val="0"/>
              <w:autoSpaceDN w:val="0"/>
              <w:adjustRightInd w:val="0"/>
              <w:spacing w:line="240" w:lineRule="auto"/>
              <w:contextualSpacing/>
            </w:pPr>
            <w:r>
              <w:t xml:space="preserve">Research question: Can the addition of heart, lung and proximal femoral vein POCUS to the initial clinical assessment reduce the hospital length of stay for patients admitted to the internal medicine ward presenting with dyspnoea? </w:t>
            </w:r>
          </w:p>
          <w:p w14:paraId="42C6972A" w14:textId="77777777" w:rsidR="00C215ED" w:rsidRDefault="00C215ED" w:rsidP="00C215ED">
            <w:pPr>
              <w:autoSpaceDE w:val="0"/>
              <w:autoSpaceDN w:val="0"/>
              <w:adjustRightInd w:val="0"/>
              <w:spacing w:line="240" w:lineRule="auto"/>
              <w:contextualSpacing/>
            </w:pPr>
          </w:p>
          <w:p w14:paraId="28778D61" w14:textId="1891DE70" w:rsidR="00040C3B" w:rsidRDefault="00C215ED" w:rsidP="0034014D">
            <w:pPr>
              <w:autoSpaceDE w:val="0"/>
              <w:autoSpaceDN w:val="0"/>
              <w:adjustRightInd w:val="0"/>
              <w:spacing w:line="240" w:lineRule="auto"/>
              <w:contextualSpacing/>
            </w:pPr>
            <w:r>
              <w:t>Hypothesis: We hypothesise that the data obtained from POCUS will reduce the mean length of hospital stay by 24 hours when compared to standard care alone.</w:t>
            </w:r>
          </w:p>
        </w:tc>
      </w:tr>
      <w:tr w:rsidR="00040C3B" w:rsidRPr="0077771B" w14:paraId="265F6C89" w14:textId="77777777" w:rsidTr="0034014D">
        <w:tc>
          <w:tcPr>
            <w:tcW w:w="2694" w:type="dxa"/>
          </w:tcPr>
          <w:p w14:paraId="3CAF0AD9" w14:textId="77777777" w:rsidR="00040C3B" w:rsidRPr="000324A0" w:rsidRDefault="00040C3B" w:rsidP="0034014D">
            <w:pPr>
              <w:spacing w:line="240" w:lineRule="auto"/>
              <w:contextualSpacing/>
              <w:rPr>
                <w:b/>
              </w:rPr>
            </w:pPr>
            <w:r w:rsidRPr="000324A0">
              <w:br w:type="page"/>
            </w:r>
            <w:r w:rsidRPr="000324A0">
              <w:rPr>
                <w:b/>
              </w:rPr>
              <w:t>PRIMARY OUTCOME</w:t>
            </w:r>
            <w:r>
              <w:rPr>
                <w:b/>
              </w:rPr>
              <w:t xml:space="preserve">/PROCESS </w:t>
            </w:r>
            <w:r w:rsidRPr="000324A0">
              <w:rPr>
                <w:b/>
              </w:rPr>
              <w:t>MEASURE</w:t>
            </w:r>
          </w:p>
        </w:tc>
        <w:tc>
          <w:tcPr>
            <w:tcW w:w="7371" w:type="dxa"/>
          </w:tcPr>
          <w:p w14:paraId="484C33AB" w14:textId="346B6F19" w:rsidR="00C215ED" w:rsidRDefault="00040C3B" w:rsidP="00C215ED">
            <w:pPr>
              <w:spacing w:after="0" w:line="240" w:lineRule="auto"/>
            </w:pPr>
            <w:r w:rsidRPr="000324A0">
              <w:t xml:space="preserve"> </w:t>
            </w:r>
            <w:r w:rsidR="00C215ED">
              <w:t>Hospital length of stay (LOS) is defined as the number of hours from time of admission to the general medicine ward to the time of discharge from the hospital facility.</w:t>
            </w:r>
          </w:p>
          <w:p w14:paraId="7A3C1F07" w14:textId="2E66FD84" w:rsidR="00040C3B" w:rsidRDefault="00C215ED" w:rsidP="00C215ED">
            <w:pPr>
              <w:spacing w:after="0" w:line="240" w:lineRule="auto"/>
            </w:pPr>
            <w:r>
              <w:t>Study sites selected are equipped with an electronic medical records system, where data of discharge can be calculated by their business intelligence units. This will reduce the risk of manual calculation error. Discharge is defined as leaving the primary hospital facility, irrespective of where patients go after that.</w:t>
            </w:r>
          </w:p>
          <w:p w14:paraId="05303B4B" w14:textId="77777777" w:rsidR="00040C3B" w:rsidRPr="00E4001C" w:rsidRDefault="00040C3B" w:rsidP="0034014D">
            <w:pPr>
              <w:spacing w:after="0" w:line="240" w:lineRule="auto"/>
              <w:rPr>
                <w:rFonts w:cs="TimesNewRomanPSMT"/>
              </w:rPr>
            </w:pPr>
          </w:p>
        </w:tc>
      </w:tr>
      <w:tr w:rsidR="00040C3B" w:rsidRPr="0077771B" w14:paraId="6B6EF917" w14:textId="77777777" w:rsidTr="0034014D">
        <w:tc>
          <w:tcPr>
            <w:tcW w:w="2694" w:type="dxa"/>
          </w:tcPr>
          <w:p w14:paraId="35D397C4" w14:textId="77777777" w:rsidR="00040C3B" w:rsidRPr="000324A0" w:rsidRDefault="00040C3B" w:rsidP="0034014D">
            <w:pPr>
              <w:spacing w:line="240" w:lineRule="auto"/>
              <w:contextualSpacing/>
              <w:rPr>
                <w:b/>
              </w:rPr>
            </w:pPr>
            <w:r w:rsidRPr="000324A0">
              <w:rPr>
                <w:b/>
              </w:rPr>
              <w:lastRenderedPageBreak/>
              <w:t>SECONDARY OUTCOME</w:t>
            </w:r>
            <w:r>
              <w:rPr>
                <w:b/>
              </w:rPr>
              <w:t>/PROCESS</w:t>
            </w:r>
            <w:r w:rsidRPr="000324A0">
              <w:rPr>
                <w:b/>
              </w:rPr>
              <w:t xml:space="preserve"> MEASURES</w:t>
            </w:r>
          </w:p>
        </w:tc>
        <w:tc>
          <w:tcPr>
            <w:tcW w:w="7371" w:type="dxa"/>
          </w:tcPr>
          <w:p w14:paraId="1172056F" w14:textId="77777777" w:rsidR="00040C3B" w:rsidRDefault="00040C3B" w:rsidP="0034014D">
            <w:pPr>
              <w:pStyle w:val="ListParagraph"/>
              <w:spacing w:after="0" w:line="240" w:lineRule="auto"/>
              <w:ind w:left="360"/>
              <w:rPr>
                <w:rFonts w:cs="TimesNewRomanPSMT"/>
              </w:rPr>
            </w:pPr>
          </w:p>
          <w:p w14:paraId="01848247" w14:textId="77777777" w:rsidR="00C215ED" w:rsidRPr="00C215ED" w:rsidRDefault="00C215ED" w:rsidP="00C215ED">
            <w:pPr>
              <w:spacing w:after="0" w:line="240" w:lineRule="auto"/>
              <w:rPr>
                <w:rFonts w:cs="TimesNewRomanPSMT"/>
              </w:rPr>
            </w:pPr>
            <w:r w:rsidRPr="00C215ED">
              <w:rPr>
                <w:rFonts w:cs="TimesNewRomanPSMT"/>
              </w:rPr>
              <w:t xml:space="preserve">Secondary outcomes: Several secondary outcomes will be measured and analysed at the midpoint by the DSMB and at the end of the study. </w:t>
            </w:r>
          </w:p>
          <w:p w14:paraId="53869BC2" w14:textId="77777777" w:rsidR="00C215ED" w:rsidRPr="00C215ED" w:rsidRDefault="00C215ED" w:rsidP="00C215ED">
            <w:pPr>
              <w:pStyle w:val="ListParagraph"/>
              <w:spacing w:after="0" w:line="240" w:lineRule="auto"/>
              <w:ind w:left="360"/>
              <w:rPr>
                <w:rFonts w:cs="TimesNewRomanPSMT"/>
              </w:rPr>
            </w:pPr>
            <w:r w:rsidRPr="00C215ED">
              <w:rPr>
                <w:rFonts w:cs="TimesNewRomanPSMT"/>
              </w:rPr>
              <w:t>A)</w:t>
            </w:r>
            <w:r w:rsidRPr="00C215ED">
              <w:rPr>
                <w:rFonts w:cs="TimesNewRomanPSMT"/>
              </w:rPr>
              <w:tab/>
              <w:t>Longitudinal measures of LOS and return to place of residence will be compared between the two treatment arms.</w:t>
            </w:r>
          </w:p>
          <w:p w14:paraId="6E1243A2" w14:textId="77777777" w:rsidR="00C215ED" w:rsidRPr="00C215ED" w:rsidRDefault="00C215ED" w:rsidP="00C215ED">
            <w:pPr>
              <w:pStyle w:val="ListParagraph"/>
              <w:spacing w:after="0" w:line="240" w:lineRule="auto"/>
              <w:ind w:left="360"/>
              <w:rPr>
                <w:rFonts w:cs="TimesNewRomanPSMT"/>
              </w:rPr>
            </w:pPr>
            <w:r w:rsidRPr="00C215ED">
              <w:rPr>
                <w:rFonts w:cs="TimesNewRomanPSMT"/>
              </w:rPr>
              <w:t>1.</w:t>
            </w:r>
            <w:r w:rsidRPr="00C215ED">
              <w:rPr>
                <w:rFonts w:cs="TimesNewRomanPSMT"/>
              </w:rPr>
              <w:tab/>
              <w:t>Disposition at discharge: proportion of patients in each group discharged home, transferred to a rehabilitation hospital, discharged to a new aged care facility, or discharged home with increased hospital assistance at the residential place including hospital in the home and subacute care at home provided by the hospital.</w:t>
            </w:r>
          </w:p>
          <w:p w14:paraId="4DB98135" w14:textId="77777777" w:rsidR="00C215ED" w:rsidRPr="00C215ED" w:rsidRDefault="00C215ED" w:rsidP="00C215ED">
            <w:pPr>
              <w:pStyle w:val="ListParagraph"/>
              <w:spacing w:after="0" w:line="240" w:lineRule="auto"/>
              <w:ind w:left="360"/>
              <w:rPr>
                <w:rFonts w:cs="TimesNewRomanPSMT"/>
              </w:rPr>
            </w:pPr>
            <w:r w:rsidRPr="00C215ED">
              <w:rPr>
                <w:rFonts w:cs="TimesNewRomanPSMT"/>
              </w:rPr>
              <w:t>2.</w:t>
            </w:r>
            <w:r w:rsidRPr="00C215ED">
              <w:rPr>
                <w:rFonts w:cs="TimesNewRomanPSMT"/>
              </w:rPr>
              <w:tab/>
              <w:t>Number of days until return to place of residence.</w:t>
            </w:r>
          </w:p>
          <w:p w14:paraId="609EA2B2" w14:textId="77777777" w:rsidR="00C215ED" w:rsidRPr="00C215ED" w:rsidRDefault="00C215ED" w:rsidP="00C215ED">
            <w:pPr>
              <w:pStyle w:val="ListParagraph"/>
              <w:spacing w:after="0" w:line="240" w:lineRule="auto"/>
              <w:ind w:left="360"/>
              <w:rPr>
                <w:rFonts w:cs="TimesNewRomanPSMT"/>
              </w:rPr>
            </w:pPr>
            <w:r w:rsidRPr="00C215ED">
              <w:rPr>
                <w:rFonts w:cs="TimesNewRomanPSMT"/>
              </w:rPr>
              <w:t>3.</w:t>
            </w:r>
            <w:r w:rsidRPr="00C215ED">
              <w:rPr>
                <w:rFonts w:cs="TimesNewRomanPSMT"/>
              </w:rPr>
              <w:tab/>
              <w:t>30-day and 1-year readmission: proportion of patients readmitted to the hospital, and the number of readmissions during the time periods.</w:t>
            </w:r>
          </w:p>
          <w:p w14:paraId="40D47BB4" w14:textId="77777777" w:rsidR="00C215ED" w:rsidRPr="00C215ED" w:rsidRDefault="00C215ED" w:rsidP="00C215ED">
            <w:pPr>
              <w:pStyle w:val="ListParagraph"/>
              <w:spacing w:after="0" w:line="240" w:lineRule="auto"/>
              <w:ind w:left="360"/>
              <w:rPr>
                <w:rFonts w:cs="TimesNewRomanPSMT"/>
              </w:rPr>
            </w:pPr>
            <w:r w:rsidRPr="00C215ED">
              <w:rPr>
                <w:rFonts w:cs="TimesNewRomanPSMT"/>
              </w:rPr>
              <w:t>B)</w:t>
            </w:r>
            <w:r w:rsidRPr="00C215ED">
              <w:rPr>
                <w:rFonts w:cs="TimesNewRomanPSMT"/>
              </w:rPr>
              <w:tab/>
              <w:t>The following clinical outcomes will be compared between groups:</w:t>
            </w:r>
          </w:p>
          <w:p w14:paraId="329A7797" w14:textId="77777777" w:rsidR="00C215ED" w:rsidRPr="00C215ED" w:rsidRDefault="00C215ED" w:rsidP="00C215ED">
            <w:pPr>
              <w:pStyle w:val="ListParagraph"/>
              <w:spacing w:after="0" w:line="240" w:lineRule="auto"/>
              <w:ind w:left="360"/>
              <w:rPr>
                <w:rFonts w:cs="TimesNewRomanPSMT"/>
              </w:rPr>
            </w:pPr>
            <w:r w:rsidRPr="00C215ED">
              <w:rPr>
                <w:rFonts w:cs="TimesNewRomanPSMT"/>
              </w:rPr>
              <w:t>1.</w:t>
            </w:r>
            <w:r w:rsidRPr="00C215ED">
              <w:rPr>
                <w:rFonts w:cs="TimesNewRomanPSMT"/>
              </w:rPr>
              <w:tab/>
              <w:t xml:space="preserve">Dyspnoea using a 0-10 numerical rating scale at Day 1, 3, 7 and 30. </w:t>
            </w:r>
          </w:p>
          <w:p w14:paraId="6AEAB578" w14:textId="77777777" w:rsidR="00C215ED" w:rsidRPr="00C215ED" w:rsidRDefault="00C215ED" w:rsidP="00C215ED">
            <w:pPr>
              <w:pStyle w:val="ListParagraph"/>
              <w:spacing w:after="0" w:line="240" w:lineRule="auto"/>
              <w:ind w:left="360"/>
              <w:rPr>
                <w:rFonts w:cs="TimesNewRomanPSMT"/>
              </w:rPr>
            </w:pPr>
            <w:r w:rsidRPr="00C215ED">
              <w:rPr>
                <w:rFonts w:cs="TimesNewRomanPSMT"/>
              </w:rPr>
              <w:t>2.</w:t>
            </w:r>
            <w:r w:rsidRPr="00C215ED">
              <w:rPr>
                <w:rFonts w:cs="TimesNewRomanPSMT"/>
              </w:rPr>
              <w:tab/>
              <w:t>Mortality: death from any cause. Date of death recorded up to one year.</w:t>
            </w:r>
          </w:p>
          <w:p w14:paraId="49409FB9" w14:textId="77777777" w:rsidR="00C215ED" w:rsidRPr="00C215ED" w:rsidRDefault="00C215ED" w:rsidP="00C215ED">
            <w:pPr>
              <w:pStyle w:val="ListParagraph"/>
              <w:spacing w:after="0" w:line="240" w:lineRule="auto"/>
              <w:ind w:left="360"/>
              <w:rPr>
                <w:rFonts w:cs="TimesNewRomanPSMT"/>
              </w:rPr>
            </w:pPr>
            <w:r w:rsidRPr="00C215ED">
              <w:rPr>
                <w:rFonts w:cs="TimesNewRomanPSMT"/>
              </w:rPr>
              <w:t>3.</w:t>
            </w:r>
            <w:r w:rsidRPr="00C215ED">
              <w:rPr>
                <w:rFonts w:cs="TimesNewRomanPSMT"/>
              </w:rPr>
              <w:tab/>
              <w:t xml:space="preserve">Major Adverse Cardiovascular or Cerebral Event (MACCE) measure at Day 30 and 1 year. MACCE is a composite outcome including cardiac death, non-fatal myocardial infarction, non-fatal stroke, and re-hospitalisation. </w:t>
            </w:r>
          </w:p>
          <w:p w14:paraId="72B126CD" w14:textId="77777777" w:rsidR="00C215ED" w:rsidRPr="00C215ED" w:rsidRDefault="00C215ED" w:rsidP="00C215ED">
            <w:pPr>
              <w:pStyle w:val="ListParagraph"/>
              <w:spacing w:after="0" w:line="240" w:lineRule="auto"/>
              <w:ind w:left="360"/>
              <w:rPr>
                <w:rFonts w:cs="TimesNewRomanPSMT"/>
              </w:rPr>
            </w:pPr>
            <w:r w:rsidRPr="00C215ED">
              <w:rPr>
                <w:rFonts w:cs="TimesNewRomanPSMT"/>
              </w:rPr>
              <w:t xml:space="preserve">C) Exploratory analysis </w:t>
            </w:r>
          </w:p>
          <w:p w14:paraId="112A6A48" w14:textId="77777777" w:rsidR="00C215ED" w:rsidRPr="00C215ED" w:rsidRDefault="00C215ED" w:rsidP="00C215ED">
            <w:pPr>
              <w:pStyle w:val="ListParagraph"/>
              <w:spacing w:after="0" w:line="240" w:lineRule="auto"/>
              <w:ind w:left="360"/>
              <w:rPr>
                <w:rFonts w:cs="TimesNewRomanPSMT"/>
              </w:rPr>
            </w:pPr>
            <w:r w:rsidRPr="00C215ED">
              <w:rPr>
                <w:rFonts w:cs="TimesNewRomanPSMT"/>
              </w:rPr>
              <w:t>1.</w:t>
            </w:r>
            <w:r w:rsidRPr="00C215ED">
              <w:rPr>
                <w:rFonts w:cs="TimesNewRomanPSMT"/>
              </w:rPr>
              <w:tab/>
              <w:t>Frailty - measured using the clinical frailty scale at Day 30 and 1 year.</w:t>
            </w:r>
          </w:p>
          <w:p w14:paraId="233BFD89" w14:textId="77777777" w:rsidR="00C215ED" w:rsidRPr="00C215ED" w:rsidRDefault="00C215ED" w:rsidP="00C215ED">
            <w:pPr>
              <w:pStyle w:val="ListParagraph"/>
              <w:spacing w:after="0" w:line="240" w:lineRule="auto"/>
              <w:ind w:left="360"/>
              <w:rPr>
                <w:rFonts w:cs="TimesNewRomanPSMT"/>
              </w:rPr>
            </w:pPr>
            <w:r w:rsidRPr="00C215ED">
              <w:rPr>
                <w:rFonts w:cs="TimesNewRomanPSMT"/>
              </w:rPr>
              <w:t>2.</w:t>
            </w:r>
            <w:r w:rsidRPr="00C215ED">
              <w:rPr>
                <w:rFonts w:cs="TimesNewRomanPSMT"/>
              </w:rPr>
              <w:tab/>
              <w:t>Independent living: will be measured using Lawton and Brody Instrumental Activities of Daily Living Scale. Day 30 and 1 year</w:t>
            </w:r>
          </w:p>
          <w:p w14:paraId="4F7A3F25" w14:textId="77777777" w:rsidR="00C215ED" w:rsidRPr="00C215ED" w:rsidRDefault="00C215ED" w:rsidP="00C215ED">
            <w:pPr>
              <w:pStyle w:val="ListParagraph"/>
              <w:spacing w:after="0" w:line="240" w:lineRule="auto"/>
              <w:ind w:left="360"/>
              <w:rPr>
                <w:rFonts w:cs="TimesNewRomanPSMT"/>
              </w:rPr>
            </w:pPr>
            <w:r w:rsidRPr="00C215ED">
              <w:rPr>
                <w:rFonts w:cs="TimesNewRomanPSMT"/>
              </w:rPr>
              <w:t>3.</w:t>
            </w:r>
            <w:r w:rsidRPr="00C215ED">
              <w:rPr>
                <w:rFonts w:cs="TimesNewRomanPSMT"/>
              </w:rPr>
              <w:tab/>
              <w:t>Quality of life using EQ-5D-5L- Day 30 and 1 year</w:t>
            </w:r>
          </w:p>
          <w:p w14:paraId="1FD54822" w14:textId="77777777" w:rsidR="00C215ED" w:rsidRPr="00C215ED" w:rsidRDefault="00C215ED" w:rsidP="00C215ED">
            <w:pPr>
              <w:pStyle w:val="ListParagraph"/>
              <w:spacing w:after="0" w:line="240" w:lineRule="auto"/>
              <w:ind w:left="360"/>
              <w:rPr>
                <w:rFonts w:cs="TimesNewRomanPSMT"/>
              </w:rPr>
            </w:pPr>
          </w:p>
          <w:p w14:paraId="6CC4BFD4" w14:textId="1B200DFC" w:rsidR="00040C3B" w:rsidRDefault="00C215ED" w:rsidP="00C215ED">
            <w:pPr>
              <w:pStyle w:val="ListParagraph"/>
              <w:spacing w:after="0" w:line="240" w:lineRule="auto"/>
              <w:ind w:left="360"/>
              <w:rPr>
                <w:rFonts w:cs="TimesNewRomanPSMT"/>
              </w:rPr>
            </w:pPr>
            <w:r w:rsidRPr="00C215ED">
              <w:rPr>
                <w:rFonts w:cs="TimesNewRomanPSMT"/>
              </w:rPr>
              <w:t>Health economic analysis: Led by our team health economist</w:t>
            </w:r>
            <w:r>
              <w:rPr>
                <w:rFonts w:cs="TimesNewRomanPSMT"/>
              </w:rPr>
              <w:t>. A</w:t>
            </w:r>
            <w:r w:rsidRPr="00C215ED">
              <w:rPr>
                <w:rFonts w:cs="TimesNewRomanPSMT"/>
              </w:rPr>
              <w:t>n economic analysis of POCUS will be performed using cost-consequence analysis as compared to usual care</w:t>
            </w:r>
            <w:r>
              <w:rPr>
                <w:rFonts w:cs="TimesNewRomanPSMT"/>
              </w:rPr>
              <w:t xml:space="preserve">. </w:t>
            </w:r>
          </w:p>
          <w:p w14:paraId="53002046" w14:textId="77777777" w:rsidR="00040C3B" w:rsidRDefault="00040C3B" w:rsidP="0034014D">
            <w:pPr>
              <w:pStyle w:val="ListParagraph"/>
              <w:spacing w:after="0" w:line="240" w:lineRule="auto"/>
              <w:ind w:left="360"/>
              <w:rPr>
                <w:rFonts w:cs="TimesNewRomanPSMT"/>
              </w:rPr>
            </w:pPr>
          </w:p>
          <w:p w14:paraId="46E30BCD" w14:textId="77777777" w:rsidR="00040C3B" w:rsidRPr="007B2CF2" w:rsidRDefault="00040C3B" w:rsidP="0034014D">
            <w:pPr>
              <w:spacing w:after="0" w:line="240" w:lineRule="auto"/>
              <w:rPr>
                <w:rFonts w:cs="TimesNewRomanPSMT"/>
              </w:rPr>
            </w:pPr>
          </w:p>
          <w:p w14:paraId="0F48804E" w14:textId="77777777" w:rsidR="00040C3B" w:rsidRPr="00B97ED9" w:rsidRDefault="00040C3B" w:rsidP="0034014D">
            <w:pPr>
              <w:pStyle w:val="ListParagraph"/>
              <w:spacing w:after="0" w:line="240" w:lineRule="auto"/>
              <w:ind w:left="360"/>
              <w:rPr>
                <w:rFonts w:cs="TimesNewRomanPSMT"/>
              </w:rPr>
            </w:pPr>
          </w:p>
        </w:tc>
      </w:tr>
      <w:tr w:rsidR="00040C3B" w:rsidRPr="0077771B" w14:paraId="5F39C7FD" w14:textId="77777777" w:rsidTr="0034014D">
        <w:tc>
          <w:tcPr>
            <w:tcW w:w="2694" w:type="dxa"/>
          </w:tcPr>
          <w:p w14:paraId="1B56CF82" w14:textId="77777777" w:rsidR="00040C3B" w:rsidRDefault="00040C3B" w:rsidP="0034014D">
            <w:pPr>
              <w:spacing w:line="240" w:lineRule="auto"/>
              <w:contextualSpacing/>
              <w:rPr>
                <w:b/>
              </w:rPr>
            </w:pPr>
            <w:r w:rsidRPr="000324A0">
              <w:br w:type="page"/>
            </w:r>
            <w:r>
              <w:rPr>
                <w:b/>
              </w:rPr>
              <w:t>STUDY DESIGN</w:t>
            </w:r>
          </w:p>
          <w:p w14:paraId="6C637448" w14:textId="77777777" w:rsidR="00040C3B" w:rsidRPr="00C13F1C" w:rsidRDefault="00040C3B" w:rsidP="0034014D">
            <w:pPr>
              <w:spacing w:line="240" w:lineRule="auto"/>
              <w:contextualSpacing/>
              <w:rPr>
                <w:b/>
              </w:rPr>
            </w:pPr>
            <w:r>
              <w:rPr>
                <w:b/>
              </w:rPr>
              <w:t xml:space="preserve">(IF THE STUDY IS A CLINICAL TRIAL, PLEASE INCLUDE INFORMATION ON SAMPLE SIZE </w:t>
            </w:r>
            <w:proofErr w:type="gramStart"/>
            <w:r>
              <w:rPr>
                <w:b/>
              </w:rPr>
              <w:t>CALCULATION,  RANDOMISATION</w:t>
            </w:r>
            <w:proofErr w:type="gramEnd"/>
            <w:r>
              <w:rPr>
                <w:b/>
              </w:rPr>
              <w:t xml:space="preserve">, AND BLINDING) </w:t>
            </w:r>
          </w:p>
          <w:p w14:paraId="3E70E7FD" w14:textId="77777777" w:rsidR="00040C3B" w:rsidRPr="000324A0" w:rsidRDefault="00040C3B" w:rsidP="0034014D">
            <w:pPr>
              <w:spacing w:line="240" w:lineRule="auto"/>
              <w:contextualSpacing/>
              <w:rPr>
                <w:b/>
              </w:rPr>
            </w:pPr>
          </w:p>
        </w:tc>
        <w:tc>
          <w:tcPr>
            <w:tcW w:w="7371" w:type="dxa"/>
          </w:tcPr>
          <w:p w14:paraId="41C23625" w14:textId="54FE3E7D" w:rsidR="00040C3B" w:rsidRPr="00B34B20" w:rsidRDefault="00C215ED" w:rsidP="0034014D">
            <w:pPr>
              <w:autoSpaceDE w:val="0"/>
              <w:autoSpaceDN w:val="0"/>
              <w:adjustRightInd w:val="0"/>
              <w:spacing w:line="240" w:lineRule="auto"/>
              <w:contextualSpacing/>
            </w:pPr>
            <w:r w:rsidRPr="00B34B20">
              <w:t>Multicentre trial, pragmatic prospective, randomised parallel group, open superiority trial. We will enrol 900 patients admitted to an internal medicine ward with a primary presentation of dyspnoea will be allocated in a 1:1 ratio to receive a) standard care or b) standard care and POCUS of the heart, lungs and proximal lower limb veins, performed within 24 hours of ward admission.</w:t>
            </w:r>
          </w:p>
          <w:p w14:paraId="2ACDB755" w14:textId="77777777" w:rsidR="00C215ED" w:rsidRPr="00B34B20" w:rsidRDefault="00C215ED" w:rsidP="0034014D">
            <w:pPr>
              <w:autoSpaceDE w:val="0"/>
              <w:autoSpaceDN w:val="0"/>
              <w:adjustRightInd w:val="0"/>
              <w:spacing w:line="240" w:lineRule="auto"/>
              <w:contextualSpacing/>
            </w:pPr>
          </w:p>
          <w:p w14:paraId="5EDF5E88" w14:textId="61ED0606" w:rsidR="00C215ED" w:rsidRPr="00B34B20" w:rsidRDefault="00C215ED" w:rsidP="00C215ED">
            <w:pPr>
              <w:autoSpaceDE w:val="0"/>
              <w:autoSpaceDN w:val="0"/>
              <w:adjustRightInd w:val="0"/>
              <w:spacing w:line="240" w:lineRule="auto"/>
              <w:contextualSpacing/>
            </w:pPr>
            <w:r w:rsidRPr="00B34B20">
              <w:t xml:space="preserve">Sample size calculation: </w:t>
            </w:r>
          </w:p>
          <w:p w14:paraId="3A3A5FD3" w14:textId="7C31460C" w:rsidR="00C215ED" w:rsidRPr="00B34B20" w:rsidRDefault="00C215ED" w:rsidP="00C215ED">
            <w:pPr>
              <w:autoSpaceDE w:val="0"/>
              <w:autoSpaceDN w:val="0"/>
              <w:adjustRightInd w:val="0"/>
              <w:spacing w:line="240" w:lineRule="auto"/>
              <w:contextualSpacing/>
            </w:pPr>
            <w:r w:rsidRPr="00B34B20">
              <w:t xml:space="preserve">The second half of our previous trial (IMFCU-1) is used as pilot data for this sample size calculation. Based on the observed standard deviation in </w:t>
            </w:r>
            <w:proofErr w:type="gramStart"/>
            <w:r w:rsidRPr="00B34B20">
              <w:t>log(</w:t>
            </w:r>
            <w:proofErr w:type="gramEnd"/>
            <w:r w:rsidRPr="00B34B20">
              <w:t xml:space="preserve">LOS), a sample size of 430 participants per group is required. This accounts for the interim analysis, and was based on a target 90% power across both the interim and final analyses; it was based on random draws following the distribution of the IMFCU-1 </w:t>
            </w:r>
            <w:proofErr w:type="gramStart"/>
            <w:r w:rsidRPr="00B34B20">
              <w:t>log(</w:t>
            </w:r>
            <w:proofErr w:type="gramEnd"/>
            <w:r w:rsidRPr="00B34B20">
              <w:t>LOS) data, and incorporates dependence between the interim and full cohort, as well as planned truncation of very long stays . The calculated sample size is 860 participants (430/group) is then raised to 900 to account for potential withdrawals.</w:t>
            </w:r>
          </w:p>
          <w:p w14:paraId="6C7AE203" w14:textId="77777777" w:rsidR="00C215ED" w:rsidRPr="00B34B20" w:rsidRDefault="00C215ED" w:rsidP="00C215ED">
            <w:pPr>
              <w:autoSpaceDE w:val="0"/>
              <w:autoSpaceDN w:val="0"/>
              <w:adjustRightInd w:val="0"/>
              <w:spacing w:line="240" w:lineRule="auto"/>
              <w:contextualSpacing/>
            </w:pPr>
          </w:p>
          <w:p w14:paraId="413D8E6B" w14:textId="09593505" w:rsidR="00C215ED" w:rsidRPr="00B34B20" w:rsidRDefault="00C215ED" w:rsidP="00C215ED">
            <w:pPr>
              <w:autoSpaceDE w:val="0"/>
              <w:autoSpaceDN w:val="0"/>
              <w:adjustRightInd w:val="0"/>
              <w:spacing w:line="240" w:lineRule="auto"/>
              <w:contextualSpacing/>
            </w:pPr>
            <w:r w:rsidRPr="00B34B20">
              <w:lastRenderedPageBreak/>
              <w:t xml:space="preserve">Randomisation: Randomisation codes will be via a computer-generated randomisation sequence with variable block size, </w:t>
            </w:r>
          </w:p>
          <w:p w14:paraId="718D6620" w14:textId="77777777" w:rsidR="00C215ED" w:rsidRPr="00B34B20" w:rsidRDefault="00C215ED" w:rsidP="00C215ED">
            <w:pPr>
              <w:autoSpaceDE w:val="0"/>
              <w:autoSpaceDN w:val="0"/>
              <w:adjustRightInd w:val="0"/>
              <w:spacing w:line="240" w:lineRule="auto"/>
              <w:contextualSpacing/>
            </w:pPr>
          </w:p>
          <w:p w14:paraId="399A1D0A" w14:textId="3E53C1A1" w:rsidR="00C215ED" w:rsidRPr="00B34B20" w:rsidRDefault="00C215ED" w:rsidP="00C215ED">
            <w:pPr>
              <w:autoSpaceDE w:val="0"/>
              <w:autoSpaceDN w:val="0"/>
              <w:adjustRightInd w:val="0"/>
              <w:spacing w:line="240" w:lineRule="auto"/>
              <w:contextualSpacing/>
            </w:pPr>
            <w:r w:rsidRPr="00B34B20">
              <w:t xml:space="preserve">Allocation, concealment, and implementation: Redcap will be used as the electronic case report form for the study. The allocation sequence will be concealed within Redcap, and only available to researchers once consent is obtained. </w:t>
            </w:r>
          </w:p>
          <w:p w14:paraId="1BD1D11E" w14:textId="6858D49C" w:rsidR="00C215ED" w:rsidRPr="00B34B20" w:rsidRDefault="00C215ED" w:rsidP="00C215ED">
            <w:pPr>
              <w:autoSpaceDE w:val="0"/>
              <w:autoSpaceDN w:val="0"/>
              <w:adjustRightInd w:val="0"/>
              <w:spacing w:line="240" w:lineRule="auto"/>
              <w:contextualSpacing/>
            </w:pPr>
            <w:r w:rsidRPr="00B34B20">
              <w:t>Blinding: Due to the type of intervention, blinding of participants or treating clinicians is not possible. However, the members of the Endpoint Adjudication Committee and the DSMB will be blinded to allocation.</w:t>
            </w:r>
          </w:p>
          <w:p w14:paraId="2C56C9DD" w14:textId="77777777" w:rsidR="00D0486C" w:rsidRPr="00B34B20" w:rsidRDefault="00D0486C" w:rsidP="00C215ED">
            <w:pPr>
              <w:autoSpaceDE w:val="0"/>
              <w:autoSpaceDN w:val="0"/>
              <w:adjustRightInd w:val="0"/>
              <w:spacing w:line="240" w:lineRule="auto"/>
              <w:contextualSpacing/>
            </w:pPr>
          </w:p>
          <w:p w14:paraId="2438E2FE" w14:textId="6A4C2895" w:rsidR="00D0486C" w:rsidRPr="00B34B20" w:rsidRDefault="00D0486C" w:rsidP="00D0486C">
            <w:pPr>
              <w:autoSpaceDE w:val="0"/>
              <w:autoSpaceDN w:val="0"/>
              <w:adjustRightInd w:val="0"/>
              <w:spacing w:line="240" w:lineRule="auto"/>
              <w:contextualSpacing/>
            </w:pPr>
            <w:r w:rsidRPr="00B34B20">
              <w:t>Interventions: Following randomisation, participants will engage in one of two intervention arms as described below.</w:t>
            </w:r>
          </w:p>
          <w:p w14:paraId="5B0963F0" w14:textId="0CF403E6" w:rsidR="00D0486C" w:rsidRPr="00B34B20" w:rsidRDefault="00D0486C" w:rsidP="00D0486C">
            <w:pPr>
              <w:autoSpaceDE w:val="0"/>
              <w:autoSpaceDN w:val="0"/>
              <w:adjustRightInd w:val="0"/>
              <w:spacing w:line="240" w:lineRule="auto"/>
              <w:contextualSpacing/>
            </w:pPr>
            <w:r w:rsidRPr="00B34B20">
              <w:t>Arm 1 – Standard Care: The current standard care pathway does not include POCUS. Diagnosis and management will be based on clinical evaluation and standard investigations requested by the treating team during clinical management.</w:t>
            </w:r>
          </w:p>
          <w:p w14:paraId="61F05AB8" w14:textId="3B16C5BB" w:rsidR="00D0486C" w:rsidRPr="00B34B20" w:rsidRDefault="00D0486C" w:rsidP="00D0486C">
            <w:pPr>
              <w:autoSpaceDE w:val="0"/>
              <w:autoSpaceDN w:val="0"/>
              <w:adjustRightInd w:val="0"/>
              <w:spacing w:line="240" w:lineRule="auto"/>
              <w:contextualSpacing/>
            </w:pPr>
            <w:r w:rsidRPr="00B34B20">
              <w:t xml:space="preserve">Arm 2 – Standard care and POCUS: In addition to standard care, POCUS (on the heart, lung, and proximal femoral vein) will be conducted within the first 24 hours of randomisation and findings integrated into clinical assessment and management. This ultrasound will be performed by a physician trained in POCUS at the equivalent level of the Specialist Certificate or Graduate Certificate of Clinical Ultrasound of The University of Melbourne. The evaluation of the heart and lungs will adhere to the </w:t>
            </w:r>
            <w:proofErr w:type="spellStart"/>
            <w:r w:rsidRPr="00B34B20">
              <w:t>iHeartScan</w:t>
            </w:r>
            <w:proofErr w:type="spellEnd"/>
            <w:r w:rsidRPr="00B34B20">
              <w:t xml:space="preserve"> and </w:t>
            </w:r>
            <w:proofErr w:type="spellStart"/>
            <w:r w:rsidRPr="00B34B20">
              <w:t>iLungScan</w:t>
            </w:r>
            <w:proofErr w:type="spellEnd"/>
          </w:p>
          <w:p w14:paraId="0332D2B7" w14:textId="4FCA6FF3" w:rsidR="00D43CCA" w:rsidRPr="00B34B20" w:rsidRDefault="00D0486C" w:rsidP="00D0486C">
            <w:pPr>
              <w:autoSpaceDE w:val="0"/>
              <w:autoSpaceDN w:val="0"/>
              <w:adjustRightInd w:val="0"/>
              <w:spacing w:line="240" w:lineRule="auto"/>
              <w:contextualSpacing/>
            </w:pPr>
            <w:r w:rsidRPr="00B34B20">
              <w:t xml:space="preserve">protocols developed and validated by the Ultrasound Education Group of The University of Melbourne. These protocols exclusively rely on 2D imaging and Colour Flow Doppler for all cardiac assessments, and they are the same protocols used in the randomised pilot study, upon which this trial is based. </w:t>
            </w:r>
          </w:p>
          <w:p w14:paraId="706ECFD8" w14:textId="626F310E" w:rsidR="00D0486C" w:rsidRPr="00B34B20" w:rsidRDefault="00D0486C" w:rsidP="00D0486C">
            <w:pPr>
              <w:autoSpaceDE w:val="0"/>
              <w:autoSpaceDN w:val="0"/>
              <w:adjustRightInd w:val="0"/>
              <w:spacing w:line="240" w:lineRule="auto"/>
              <w:contextualSpacing/>
            </w:pPr>
            <w:r w:rsidRPr="00B34B20">
              <w:t>A report will be written and distributed to members of the treating team and included in the patient notes.</w:t>
            </w:r>
          </w:p>
          <w:p w14:paraId="2299FA4A" w14:textId="1CAC93C1" w:rsidR="00D0486C" w:rsidRPr="00B34B20" w:rsidRDefault="00D0486C" w:rsidP="00D0486C">
            <w:pPr>
              <w:autoSpaceDE w:val="0"/>
              <w:autoSpaceDN w:val="0"/>
              <w:adjustRightInd w:val="0"/>
              <w:spacing w:line="240" w:lineRule="auto"/>
              <w:contextualSpacing/>
            </w:pPr>
            <w:r w:rsidRPr="00B34B20">
              <w:t>In both arms and in keeping with pragmatic trial design, no restrictions will apply to medication use or additional standard investigations.</w:t>
            </w:r>
          </w:p>
          <w:p w14:paraId="3FC8C1B1" w14:textId="77777777" w:rsidR="00D0486C" w:rsidRPr="00B34B20" w:rsidRDefault="00D0486C" w:rsidP="00D0486C">
            <w:pPr>
              <w:autoSpaceDE w:val="0"/>
              <w:autoSpaceDN w:val="0"/>
              <w:adjustRightInd w:val="0"/>
              <w:spacing w:line="240" w:lineRule="auto"/>
              <w:contextualSpacing/>
            </w:pPr>
          </w:p>
          <w:p w14:paraId="34E89F13" w14:textId="39B68BEB" w:rsidR="00D0486C" w:rsidRPr="00B34B20" w:rsidRDefault="00D0486C" w:rsidP="00D0486C">
            <w:pPr>
              <w:autoSpaceDE w:val="0"/>
              <w:autoSpaceDN w:val="0"/>
              <w:adjustRightInd w:val="0"/>
              <w:spacing w:line="240" w:lineRule="auto"/>
              <w:contextualSpacing/>
            </w:pPr>
            <w:r w:rsidRPr="00B34B20">
              <w:t xml:space="preserve">Run-in Phase: Drawing on previous experience, this trial includes a run-in phase during which each site must document and analyse a specified number of </w:t>
            </w:r>
            <w:proofErr w:type="gramStart"/>
            <w:r w:rsidRPr="00B34B20">
              <w:t>heart</w:t>
            </w:r>
            <w:proofErr w:type="gramEnd"/>
            <w:r w:rsidRPr="00B34B20">
              <w:t>, lung, and DVT scans before beginning recruitment.</w:t>
            </w:r>
          </w:p>
          <w:p w14:paraId="7CC9A7DD" w14:textId="6FF2711D" w:rsidR="00040C3B" w:rsidRPr="00B34B20" w:rsidRDefault="00D0486C" w:rsidP="00C215ED">
            <w:pPr>
              <w:autoSpaceDE w:val="0"/>
              <w:autoSpaceDN w:val="0"/>
              <w:adjustRightInd w:val="0"/>
              <w:spacing w:line="240" w:lineRule="auto"/>
              <w:contextualSpacing/>
            </w:pPr>
            <w:r w:rsidRPr="00B34B20">
              <w:t>.</w:t>
            </w:r>
          </w:p>
        </w:tc>
      </w:tr>
      <w:tr w:rsidR="00040C3B" w:rsidRPr="0077771B" w14:paraId="51C93F72" w14:textId="77777777" w:rsidTr="0034014D">
        <w:tc>
          <w:tcPr>
            <w:tcW w:w="2694" w:type="dxa"/>
          </w:tcPr>
          <w:p w14:paraId="46BA14BE" w14:textId="77777777" w:rsidR="00040C3B" w:rsidRPr="000324A0" w:rsidRDefault="00040C3B" w:rsidP="0034014D">
            <w:pPr>
              <w:spacing w:line="240" w:lineRule="auto"/>
              <w:contextualSpacing/>
              <w:rPr>
                <w:b/>
              </w:rPr>
            </w:pPr>
            <w:r w:rsidRPr="000324A0">
              <w:rPr>
                <w:b/>
              </w:rPr>
              <w:lastRenderedPageBreak/>
              <w:t>INCLUSION CRITERIA</w:t>
            </w:r>
          </w:p>
        </w:tc>
        <w:tc>
          <w:tcPr>
            <w:tcW w:w="7371" w:type="dxa"/>
          </w:tcPr>
          <w:p w14:paraId="6BBAA313" w14:textId="77777777" w:rsidR="00040C3B" w:rsidRDefault="00040C3B" w:rsidP="0034014D">
            <w:pPr>
              <w:autoSpaceDE w:val="0"/>
              <w:autoSpaceDN w:val="0"/>
              <w:adjustRightInd w:val="0"/>
              <w:spacing w:after="60" w:line="240" w:lineRule="auto"/>
              <w:contextualSpacing/>
            </w:pPr>
          </w:p>
          <w:p w14:paraId="4F2ECF08" w14:textId="24D76FE0" w:rsidR="00040C3B" w:rsidRPr="000324A0" w:rsidRDefault="00C215ED" w:rsidP="00C215ED">
            <w:pPr>
              <w:autoSpaceDE w:val="0"/>
              <w:autoSpaceDN w:val="0"/>
              <w:adjustRightInd w:val="0"/>
              <w:spacing w:after="60" w:line="240" w:lineRule="auto"/>
              <w:contextualSpacing/>
            </w:pPr>
            <w:r>
              <w:t>Adults</w:t>
            </w:r>
            <w:r w:rsidRPr="00C215ED">
              <w:t xml:space="preserve"> aged 65 years or older who are admitted to the internal medicine ward where the primary symptom leading to admission is dyspnoea. Recruitment and allocation will occur within 24-hours of admission to the internal medicine ward. </w:t>
            </w:r>
          </w:p>
        </w:tc>
      </w:tr>
      <w:tr w:rsidR="00040C3B" w:rsidRPr="0077771B" w14:paraId="745FBC62" w14:textId="77777777" w:rsidTr="0034014D">
        <w:tc>
          <w:tcPr>
            <w:tcW w:w="2694" w:type="dxa"/>
          </w:tcPr>
          <w:p w14:paraId="3093D494" w14:textId="77777777" w:rsidR="00040C3B" w:rsidRPr="000324A0" w:rsidRDefault="00040C3B" w:rsidP="0034014D">
            <w:pPr>
              <w:spacing w:line="240" w:lineRule="auto"/>
              <w:contextualSpacing/>
              <w:rPr>
                <w:b/>
              </w:rPr>
            </w:pPr>
            <w:r w:rsidRPr="000324A0">
              <w:rPr>
                <w:b/>
              </w:rPr>
              <w:t>EXCLUSION CRITERIA</w:t>
            </w:r>
          </w:p>
        </w:tc>
        <w:tc>
          <w:tcPr>
            <w:tcW w:w="7371" w:type="dxa"/>
          </w:tcPr>
          <w:p w14:paraId="324EF547" w14:textId="77777777" w:rsidR="00040C3B" w:rsidRDefault="00040C3B" w:rsidP="0034014D">
            <w:pPr>
              <w:autoSpaceDE w:val="0"/>
              <w:autoSpaceDN w:val="0"/>
              <w:adjustRightInd w:val="0"/>
              <w:spacing w:after="60" w:line="240" w:lineRule="auto"/>
              <w:contextualSpacing/>
            </w:pPr>
          </w:p>
          <w:p w14:paraId="02CBD5CD" w14:textId="34EEA865" w:rsidR="00C215ED" w:rsidRDefault="00C215ED" w:rsidP="00C215ED">
            <w:pPr>
              <w:autoSpaceDE w:val="0"/>
              <w:autoSpaceDN w:val="0"/>
              <w:adjustRightInd w:val="0"/>
              <w:spacing w:after="60" w:line="240" w:lineRule="auto"/>
              <w:contextualSpacing/>
            </w:pPr>
            <w:r>
              <w:t>H</w:t>
            </w:r>
            <w:r w:rsidRPr="00C215ED">
              <w:t xml:space="preserve">aving a computed tomography (CT) chest or CT pulmonary angiogram, trans thoracic echocardiography, lung ultrasound, or deep vein thrombosis scan within 30 days </w:t>
            </w:r>
            <w:r w:rsidR="00B75983" w:rsidRPr="00B34B20">
              <w:t>prior</w:t>
            </w:r>
            <w:r w:rsidR="00B75983">
              <w:t xml:space="preserve"> </w:t>
            </w:r>
            <w:r w:rsidR="00D43CCA">
              <w:t>to</w:t>
            </w:r>
            <w:r w:rsidRPr="00C215ED">
              <w:t xml:space="preserve"> admission to the general medical ward, or where death is expected within 48-hour.</w:t>
            </w:r>
          </w:p>
          <w:p w14:paraId="0323D529" w14:textId="77777777" w:rsidR="00040C3B" w:rsidRDefault="00040C3B" w:rsidP="0034014D">
            <w:pPr>
              <w:autoSpaceDE w:val="0"/>
              <w:autoSpaceDN w:val="0"/>
              <w:adjustRightInd w:val="0"/>
              <w:spacing w:after="60" w:line="240" w:lineRule="auto"/>
              <w:contextualSpacing/>
            </w:pPr>
          </w:p>
          <w:p w14:paraId="10B53135" w14:textId="77777777" w:rsidR="00040C3B" w:rsidRDefault="00040C3B" w:rsidP="0034014D">
            <w:pPr>
              <w:autoSpaceDE w:val="0"/>
              <w:autoSpaceDN w:val="0"/>
              <w:adjustRightInd w:val="0"/>
              <w:spacing w:after="60" w:line="240" w:lineRule="auto"/>
              <w:contextualSpacing/>
            </w:pPr>
          </w:p>
          <w:p w14:paraId="122D7149" w14:textId="77777777" w:rsidR="00040C3B" w:rsidRPr="000324A0" w:rsidRDefault="00040C3B" w:rsidP="0034014D">
            <w:pPr>
              <w:autoSpaceDE w:val="0"/>
              <w:autoSpaceDN w:val="0"/>
              <w:adjustRightInd w:val="0"/>
              <w:spacing w:after="60" w:line="240" w:lineRule="auto"/>
              <w:contextualSpacing/>
            </w:pPr>
          </w:p>
        </w:tc>
      </w:tr>
      <w:tr w:rsidR="00040C3B" w:rsidRPr="0077771B" w14:paraId="66039585" w14:textId="77777777" w:rsidTr="0034014D">
        <w:tc>
          <w:tcPr>
            <w:tcW w:w="2694" w:type="dxa"/>
          </w:tcPr>
          <w:p w14:paraId="17CAE4A7" w14:textId="77777777" w:rsidR="00040C3B" w:rsidRPr="000324A0" w:rsidRDefault="00040C3B" w:rsidP="0034014D">
            <w:pPr>
              <w:spacing w:line="240" w:lineRule="auto"/>
              <w:contextualSpacing/>
              <w:rPr>
                <w:b/>
              </w:rPr>
            </w:pPr>
            <w:r>
              <w:rPr>
                <w:b/>
              </w:rPr>
              <w:lastRenderedPageBreak/>
              <w:t xml:space="preserve">EXPECTED </w:t>
            </w:r>
            <w:r w:rsidRPr="000324A0">
              <w:rPr>
                <w:b/>
              </w:rPr>
              <w:t>NUMBER OF PARTICIPANTS</w:t>
            </w:r>
          </w:p>
        </w:tc>
        <w:tc>
          <w:tcPr>
            <w:tcW w:w="7371" w:type="dxa"/>
          </w:tcPr>
          <w:p w14:paraId="5DB2A79E" w14:textId="77777777" w:rsidR="00040C3B" w:rsidRDefault="00040C3B" w:rsidP="0034014D">
            <w:pPr>
              <w:spacing w:after="0" w:line="240" w:lineRule="auto"/>
              <w:ind w:right="113"/>
            </w:pPr>
          </w:p>
          <w:p w14:paraId="29D54725" w14:textId="77777777" w:rsidR="00040C3B" w:rsidRDefault="00040C3B" w:rsidP="0034014D">
            <w:pPr>
              <w:spacing w:after="0" w:line="240" w:lineRule="auto"/>
              <w:ind w:right="113"/>
            </w:pPr>
          </w:p>
          <w:p w14:paraId="76171BBF" w14:textId="20145CD5" w:rsidR="00040C3B" w:rsidRDefault="00C215ED" w:rsidP="0034014D">
            <w:pPr>
              <w:spacing w:after="0" w:line="240" w:lineRule="auto"/>
              <w:ind w:right="113"/>
            </w:pPr>
            <w:r>
              <w:t>900 (450 each arm)</w:t>
            </w:r>
          </w:p>
          <w:p w14:paraId="6F906F43" w14:textId="77777777" w:rsidR="00040C3B" w:rsidRDefault="00040C3B" w:rsidP="0034014D">
            <w:pPr>
              <w:spacing w:after="0" w:line="240" w:lineRule="auto"/>
              <w:ind w:right="113"/>
            </w:pPr>
          </w:p>
          <w:p w14:paraId="1309475E" w14:textId="77777777" w:rsidR="00040C3B" w:rsidRPr="000324A0" w:rsidRDefault="00040C3B" w:rsidP="0034014D">
            <w:pPr>
              <w:spacing w:after="0" w:line="240" w:lineRule="auto"/>
              <w:ind w:right="113"/>
            </w:pPr>
          </w:p>
        </w:tc>
      </w:tr>
      <w:tr w:rsidR="00040C3B" w:rsidRPr="0077771B" w14:paraId="58113D16" w14:textId="77777777" w:rsidTr="0034014D">
        <w:tc>
          <w:tcPr>
            <w:tcW w:w="2694" w:type="dxa"/>
          </w:tcPr>
          <w:p w14:paraId="328C0E3F" w14:textId="77777777" w:rsidR="00040C3B" w:rsidRDefault="00040C3B" w:rsidP="0034014D">
            <w:pPr>
              <w:spacing w:line="240" w:lineRule="auto"/>
              <w:contextualSpacing/>
              <w:rPr>
                <w:b/>
              </w:rPr>
            </w:pPr>
            <w:r>
              <w:rPr>
                <w:b/>
              </w:rPr>
              <w:t>STUDY DURATION</w:t>
            </w:r>
          </w:p>
          <w:p w14:paraId="420B5530" w14:textId="77777777" w:rsidR="00040C3B" w:rsidRDefault="00040C3B" w:rsidP="0034014D">
            <w:pPr>
              <w:spacing w:line="240" w:lineRule="auto"/>
              <w:contextualSpacing/>
              <w:rPr>
                <w:b/>
              </w:rPr>
            </w:pPr>
          </w:p>
          <w:p w14:paraId="47CFE528" w14:textId="77777777" w:rsidR="00040C3B" w:rsidRDefault="00040C3B" w:rsidP="0034014D">
            <w:pPr>
              <w:spacing w:line="240" w:lineRule="auto"/>
              <w:contextualSpacing/>
              <w:rPr>
                <w:b/>
              </w:rPr>
            </w:pPr>
          </w:p>
          <w:p w14:paraId="0D971DC1" w14:textId="77777777" w:rsidR="00040C3B" w:rsidRDefault="00040C3B" w:rsidP="0034014D">
            <w:pPr>
              <w:spacing w:line="240" w:lineRule="auto"/>
              <w:contextualSpacing/>
              <w:rPr>
                <w:b/>
              </w:rPr>
            </w:pPr>
          </w:p>
          <w:p w14:paraId="795D3001" w14:textId="77777777" w:rsidR="00040C3B" w:rsidRDefault="00040C3B" w:rsidP="0034014D">
            <w:pPr>
              <w:spacing w:line="240" w:lineRule="auto"/>
              <w:contextualSpacing/>
              <w:rPr>
                <w:b/>
              </w:rPr>
            </w:pPr>
          </w:p>
          <w:p w14:paraId="07078DBA" w14:textId="77777777" w:rsidR="00040C3B" w:rsidRPr="000324A0" w:rsidRDefault="00040C3B" w:rsidP="0034014D">
            <w:pPr>
              <w:spacing w:line="240" w:lineRule="auto"/>
              <w:contextualSpacing/>
              <w:rPr>
                <w:b/>
              </w:rPr>
            </w:pPr>
          </w:p>
        </w:tc>
        <w:tc>
          <w:tcPr>
            <w:tcW w:w="7371" w:type="dxa"/>
            <w:vAlign w:val="center"/>
          </w:tcPr>
          <w:p w14:paraId="47D4D9AF" w14:textId="77777777" w:rsidR="00040C3B" w:rsidRDefault="00040C3B" w:rsidP="0034014D">
            <w:pPr>
              <w:spacing w:after="0" w:line="240" w:lineRule="auto"/>
              <w:ind w:right="113"/>
              <w:contextualSpacing/>
            </w:pPr>
          </w:p>
          <w:p w14:paraId="4BAFE27E" w14:textId="77777777" w:rsidR="00040C3B" w:rsidRDefault="00040C3B" w:rsidP="0034014D">
            <w:pPr>
              <w:spacing w:after="0" w:line="240" w:lineRule="auto"/>
              <w:ind w:right="113"/>
              <w:contextualSpacing/>
            </w:pPr>
          </w:p>
          <w:p w14:paraId="3590E666" w14:textId="1C352FFB" w:rsidR="00040C3B" w:rsidRDefault="00C215ED" w:rsidP="0034014D">
            <w:pPr>
              <w:spacing w:after="0" w:line="240" w:lineRule="auto"/>
              <w:ind w:right="113"/>
              <w:contextualSpacing/>
            </w:pPr>
            <w:r>
              <w:t>5 years</w:t>
            </w:r>
          </w:p>
          <w:p w14:paraId="71687D8B" w14:textId="70ECD078" w:rsidR="00C215ED" w:rsidRDefault="00C215ED" w:rsidP="0034014D">
            <w:pPr>
              <w:spacing w:after="0" w:line="240" w:lineRule="auto"/>
              <w:ind w:right="113"/>
              <w:contextualSpacing/>
            </w:pPr>
            <w:r>
              <w:t>(2 years recruitment)</w:t>
            </w:r>
          </w:p>
          <w:p w14:paraId="12E39CBE" w14:textId="77777777" w:rsidR="00040C3B" w:rsidRDefault="00040C3B" w:rsidP="0034014D">
            <w:pPr>
              <w:spacing w:after="0" w:line="240" w:lineRule="auto"/>
              <w:ind w:right="113"/>
              <w:contextualSpacing/>
            </w:pPr>
          </w:p>
          <w:p w14:paraId="4100D5A7" w14:textId="77777777" w:rsidR="00040C3B" w:rsidRPr="000324A0" w:rsidRDefault="00040C3B" w:rsidP="0034014D">
            <w:pPr>
              <w:spacing w:after="0" w:line="240" w:lineRule="auto"/>
              <w:ind w:right="113"/>
              <w:contextualSpacing/>
            </w:pPr>
          </w:p>
        </w:tc>
      </w:tr>
      <w:tr w:rsidR="00040C3B" w:rsidRPr="0077771B" w14:paraId="2CF4D09C" w14:textId="77777777" w:rsidTr="0034014D">
        <w:tc>
          <w:tcPr>
            <w:tcW w:w="2694" w:type="dxa"/>
          </w:tcPr>
          <w:p w14:paraId="28615188" w14:textId="77777777" w:rsidR="00040C3B" w:rsidRPr="000324A0" w:rsidRDefault="00040C3B" w:rsidP="0034014D">
            <w:pPr>
              <w:spacing w:line="240" w:lineRule="auto"/>
              <w:contextualSpacing/>
              <w:rPr>
                <w:b/>
              </w:rPr>
            </w:pPr>
            <w:r w:rsidRPr="000324A0">
              <w:rPr>
                <w:b/>
              </w:rPr>
              <w:t>ANALYSIS</w:t>
            </w:r>
          </w:p>
        </w:tc>
        <w:tc>
          <w:tcPr>
            <w:tcW w:w="7371" w:type="dxa"/>
          </w:tcPr>
          <w:p w14:paraId="38818E65" w14:textId="77777777" w:rsidR="00040C3B" w:rsidRDefault="00040C3B" w:rsidP="0034014D">
            <w:pPr>
              <w:spacing w:line="240" w:lineRule="auto"/>
              <w:contextualSpacing/>
            </w:pPr>
          </w:p>
          <w:p w14:paraId="7A737CDF" w14:textId="36C4BF87" w:rsidR="00C215ED" w:rsidRDefault="00C215ED" w:rsidP="00C215ED">
            <w:pPr>
              <w:spacing w:line="240" w:lineRule="auto"/>
              <w:contextualSpacing/>
            </w:pPr>
            <w:r>
              <w:t>Primary outcome: The primary outcome, LOS in hours, will be analysed using Student’s t-test on the log scale, in anticipation of a skewed distribution in the untransformed LOS. A cut-off of 21 days will be applied to LOS to avoid the effect of extremely long hospital stays. Statistical analysis will be performed using the latest available version of R (at least v4.3.3). For patients who die in hospital, we will follow a worst-case scenario approach, they will be assigned at discharge time of 21 days to reduce the bias of death favouring the primary outcome.</w:t>
            </w:r>
          </w:p>
          <w:p w14:paraId="3B8A8334" w14:textId="1DDF365C" w:rsidR="00C215ED" w:rsidRDefault="00C215ED" w:rsidP="00C215ED">
            <w:pPr>
              <w:spacing w:line="240" w:lineRule="auto"/>
              <w:contextualSpacing/>
            </w:pPr>
          </w:p>
          <w:p w14:paraId="4BD83609" w14:textId="77777777" w:rsidR="00C215ED" w:rsidRDefault="00C215ED" w:rsidP="00C215ED">
            <w:pPr>
              <w:spacing w:line="240" w:lineRule="auto"/>
              <w:contextualSpacing/>
            </w:pPr>
            <w:r>
              <w:t xml:space="preserve">For the primary outcome, significance is defined as p &lt; 0.0054 and 0.0492 for the interim and final analyses (respectively), to achieve a Type I error rate of 0.05 across both analyses. For secondary outcomes and comparisons between groups, a significance threshold of p = 0.05 (0.01) will be used. </w:t>
            </w:r>
          </w:p>
          <w:p w14:paraId="409DD06F" w14:textId="77777777" w:rsidR="00C215ED" w:rsidRDefault="00C215ED" w:rsidP="00C215ED">
            <w:pPr>
              <w:spacing w:line="240" w:lineRule="auto"/>
              <w:contextualSpacing/>
            </w:pPr>
          </w:p>
          <w:p w14:paraId="01521203" w14:textId="77777777" w:rsidR="00C215ED" w:rsidRDefault="00C215ED" w:rsidP="00C215ED">
            <w:pPr>
              <w:spacing w:line="240" w:lineRule="auto"/>
              <w:contextualSpacing/>
            </w:pPr>
            <w:r>
              <w:t xml:space="preserve">Secondary outcomes: Analysed using parametric or non-parametric tests according to the distribution of the log-transformed LOS data, all estimates will be reported with 95% confidence intervals. All analysis will be based on the principle of intention-to-treat. A sensitivity analysis will be conducted with multivariate regression (specifically, a generalised linear model) to evaluate potential influences of demographic and baseline factors. </w:t>
            </w:r>
          </w:p>
          <w:p w14:paraId="0D7DC4D5" w14:textId="7AB6D5E8" w:rsidR="00040C3B" w:rsidRPr="000324A0" w:rsidRDefault="00C215ED" w:rsidP="00C215ED">
            <w:pPr>
              <w:spacing w:line="240" w:lineRule="auto"/>
              <w:contextualSpacing/>
            </w:pPr>
            <w:r>
              <w:tab/>
            </w:r>
          </w:p>
        </w:tc>
      </w:tr>
      <w:tr w:rsidR="00040C3B" w:rsidRPr="0077771B" w14:paraId="1E660B00" w14:textId="77777777" w:rsidTr="0034014D">
        <w:tc>
          <w:tcPr>
            <w:tcW w:w="2694" w:type="dxa"/>
          </w:tcPr>
          <w:p w14:paraId="46F3B11C" w14:textId="77777777" w:rsidR="00040C3B" w:rsidRDefault="00040C3B" w:rsidP="0034014D">
            <w:pPr>
              <w:spacing w:line="240" w:lineRule="auto"/>
              <w:contextualSpacing/>
              <w:rPr>
                <w:b/>
              </w:rPr>
            </w:pPr>
            <w:r>
              <w:rPr>
                <w:b/>
              </w:rPr>
              <w:t xml:space="preserve">IMPORTANCE TO GENERAL MEDICINE </w:t>
            </w:r>
          </w:p>
          <w:p w14:paraId="0DDE611B" w14:textId="77777777" w:rsidR="00040C3B" w:rsidRDefault="00040C3B" w:rsidP="0034014D">
            <w:pPr>
              <w:spacing w:line="240" w:lineRule="auto"/>
              <w:contextualSpacing/>
              <w:rPr>
                <w:b/>
              </w:rPr>
            </w:pPr>
          </w:p>
          <w:p w14:paraId="27400BCC" w14:textId="77777777" w:rsidR="00040C3B" w:rsidRDefault="00040C3B" w:rsidP="0034014D">
            <w:pPr>
              <w:spacing w:line="240" w:lineRule="auto"/>
              <w:contextualSpacing/>
              <w:rPr>
                <w:b/>
              </w:rPr>
            </w:pPr>
          </w:p>
          <w:p w14:paraId="5F11536B" w14:textId="77777777" w:rsidR="00040C3B" w:rsidRPr="000324A0" w:rsidRDefault="00040C3B" w:rsidP="0034014D">
            <w:pPr>
              <w:spacing w:line="240" w:lineRule="auto"/>
              <w:contextualSpacing/>
              <w:rPr>
                <w:b/>
              </w:rPr>
            </w:pPr>
          </w:p>
        </w:tc>
        <w:tc>
          <w:tcPr>
            <w:tcW w:w="7371" w:type="dxa"/>
          </w:tcPr>
          <w:p w14:paraId="36BA268F" w14:textId="16337269" w:rsidR="00040C3B" w:rsidRDefault="00C215ED" w:rsidP="00C215ED">
            <w:pPr>
              <w:spacing w:line="240" w:lineRule="auto"/>
              <w:contextualSpacing/>
            </w:pPr>
            <w:r>
              <w:t>Utilising POCUS in the assessment of dyspnoea is an innovative next step in improving the diagnostic reliability and ability of clinicians. Our pilot and previous research has shown that this practice change is feasible in the hospital settings and provided information that improved the confidence of clinical management decisions.</w:t>
            </w:r>
            <w:r>
              <w:tab/>
              <w:t>The additional of POCUS to current practice is both economical and pragmatic without significant time cost to the diagnostic process. Beyond hospitals, POCUS could be used in various medical settings, including home care, remote medicine, rehabilitation centres, outpatient clinics, and nursing homes. POCUS has already gained global recognition in internal medicine, with the European Federation of Internal Medicine advocating for its integration into training programs.</w:t>
            </w:r>
            <w:r w:rsidR="00B75983">
              <w:t xml:space="preserve"> </w:t>
            </w:r>
            <w:r>
              <w:t xml:space="preserve">This work on Australian-specific data will add to an international movement and provide evidence-based insights into the use and integration of POCUS in Australian settings for the Australian population and priorities. </w:t>
            </w:r>
          </w:p>
        </w:tc>
      </w:tr>
      <w:tr w:rsidR="00040C3B" w:rsidRPr="0077771B" w14:paraId="5F38080C" w14:textId="77777777" w:rsidTr="0034014D">
        <w:tc>
          <w:tcPr>
            <w:tcW w:w="2694" w:type="dxa"/>
          </w:tcPr>
          <w:p w14:paraId="4BC0CAAD" w14:textId="77777777" w:rsidR="00040C3B" w:rsidRDefault="00040C3B" w:rsidP="0034014D">
            <w:pPr>
              <w:spacing w:line="240" w:lineRule="auto"/>
              <w:contextualSpacing/>
              <w:rPr>
                <w:b/>
              </w:rPr>
            </w:pPr>
            <w:r>
              <w:rPr>
                <w:b/>
              </w:rPr>
              <w:t>FUNDING</w:t>
            </w:r>
          </w:p>
          <w:p w14:paraId="3E2C3A38" w14:textId="77777777" w:rsidR="00040C3B" w:rsidRDefault="00040C3B" w:rsidP="0034014D">
            <w:pPr>
              <w:spacing w:line="240" w:lineRule="auto"/>
              <w:contextualSpacing/>
              <w:rPr>
                <w:b/>
              </w:rPr>
            </w:pPr>
          </w:p>
          <w:p w14:paraId="41C25B59" w14:textId="77777777" w:rsidR="00040C3B" w:rsidRDefault="00040C3B" w:rsidP="0034014D">
            <w:pPr>
              <w:spacing w:line="240" w:lineRule="auto"/>
              <w:contextualSpacing/>
              <w:rPr>
                <w:b/>
              </w:rPr>
            </w:pPr>
          </w:p>
          <w:p w14:paraId="5837397A" w14:textId="77777777" w:rsidR="00040C3B" w:rsidRDefault="00040C3B" w:rsidP="0034014D">
            <w:pPr>
              <w:spacing w:line="240" w:lineRule="auto"/>
              <w:contextualSpacing/>
              <w:rPr>
                <w:b/>
              </w:rPr>
            </w:pPr>
          </w:p>
          <w:p w14:paraId="59A4D67C" w14:textId="77777777" w:rsidR="00040C3B" w:rsidRPr="000324A0" w:rsidRDefault="00040C3B" w:rsidP="0034014D">
            <w:pPr>
              <w:spacing w:line="240" w:lineRule="auto"/>
              <w:contextualSpacing/>
              <w:rPr>
                <w:b/>
              </w:rPr>
            </w:pPr>
          </w:p>
        </w:tc>
        <w:tc>
          <w:tcPr>
            <w:tcW w:w="7371" w:type="dxa"/>
          </w:tcPr>
          <w:p w14:paraId="23C532BB" w14:textId="2D9D16F8" w:rsidR="00040C3B" w:rsidRPr="000324A0" w:rsidRDefault="00C215ED" w:rsidP="0034014D">
            <w:pPr>
              <w:spacing w:line="240" w:lineRule="auto"/>
              <w:contextualSpacing/>
            </w:pPr>
            <w:r>
              <w:lastRenderedPageBreak/>
              <w:t>Applying for MRFF</w:t>
            </w:r>
          </w:p>
        </w:tc>
      </w:tr>
      <w:tr w:rsidR="004F6901" w:rsidRPr="0077771B" w14:paraId="13AF968E" w14:textId="77777777" w:rsidTr="0034014D">
        <w:tc>
          <w:tcPr>
            <w:tcW w:w="2694" w:type="dxa"/>
          </w:tcPr>
          <w:p w14:paraId="3AE7ACB8" w14:textId="40F2071A" w:rsidR="004F6901" w:rsidRDefault="004F6901" w:rsidP="0034014D">
            <w:pPr>
              <w:spacing w:line="240" w:lineRule="auto"/>
              <w:contextualSpacing/>
              <w:rPr>
                <w:b/>
              </w:rPr>
            </w:pPr>
            <w:r>
              <w:rPr>
                <w:b/>
              </w:rPr>
              <w:t>HAS CONSIDERATION BEEN GIVEN TO HOW THIS PROJECT MIGHT IMPROVE EQUITY IN INDIGENOUS OR VULNERABLE POPULATIONS? PLEASE PROVIDE EXPLANATION</w:t>
            </w:r>
          </w:p>
        </w:tc>
        <w:tc>
          <w:tcPr>
            <w:tcW w:w="7371" w:type="dxa"/>
          </w:tcPr>
          <w:p w14:paraId="64D9D43A" w14:textId="1543DE99" w:rsidR="004F6901" w:rsidRPr="000324A0" w:rsidRDefault="00C215ED" w:rsidP="00C215ED">
            <w:pPr>
              <w:spacing w:line="240" w:lineRule="auto"/>
              <w:contextualSpacing/>
            </w:pPr>
            <w:r w:rsidRPr="00C215ED">
              <w:t>Th</w:t>
            </w:r>
            <w:r>
              <w:t>e diagnostic</w:t>
            </w:r>
            <w:r w:rsidRPr="00C215ED">
              <w:t xml:space="preserve"> inaccuracy </w:t>
            </w:r>
            <w:r>
              <w:t xml:space="preserve">in patients with dyspnoea </w:t>
            </w:r>
            <w:r w:rsidRPr="00C215ED">
              <w:t>is most pronounced in patients &gt;65 years old, with heart failure being both over- and under-diagnosed in 27% and 70% of cases, respectively. Significantly, older age has been identified as a primary independent factor predictive of 30-day mortality among dyspneic patients, although the precise impact on health outcomes and healthcare expenditure remains to be fully determined. Irrefutably, there is an urgent and unmet demand for more accurate and prompt diagnostic methods for elderly patients presenting with dyspnoea.</w:t>
            </w:r>
          </w:p>
        </w:tc>
      </w:tr>
      <w:tr w:rsidR="00040C3B" w:rsidRPr="0077771B" w14:paraId="364BBE7D" w14:textId="77777777" w:rsidTr="0034014D">
        <w:tc>
          <w:tcPr>
            <w:tcW w:w="2694" w:type="dxa"/>
          </w:tcPr>
          <w:p w14:paraId="0399A594" w14:textId="77777777" w:rsidR="00040C3B" w:rsidRDefault="00040C3B" w:rsidP="0034014D">
            <w:pPr>
              <w:spacing w:line="240" w:lineRule="auto"/>
              <w:contextualSpacing/>
              <w:rPr>
                <w:b/>
              </w:rPr>
            </w:pPr>
            <w:r>
              <w:rPr>
                <w:b/>
              </w:rPr>
              <w:t>CURRENT PROGRESS</w:t>
            </w:r>
          </w:p>
        </w:tc>
        <w:tc>
          <w:tcPr>
            <w:tcW w:w="7371" w:type="dxa"/>
          </w:tcPr>
          <w:p w14:paraId="3871E3DA" w14:textId="3EA5CC02" w:rsidR="00040C3B" w:rsidRDefault="00040C3B" w:rsidP="0034014D">
            <w:pPr>
              <w:spacing w:line="240" w:lineRule="auto"/>
              <w:contextualSpacing/>
            </w:pPr>
            <w:r>
              <w:t>Design and protocol development [</w:t>
            </w:r>
            <w:r w:rsidR="00C215ED">
              <w:t>x</w:t>
            </w:r>
            <w:r>
              <w:t>]</w:t>
            </w:r>
          </w:p>
          <w:p w14:paraId="043EE7CF" w14:textId="77777777" w:rsidR="00040C3B" w:rsidRDefault="00040C3B" w:rsidP="0034014D">
            <w:pPr>
              <w:spacing w:line="240" w:lineRule="auto"/>
              <w:contextualSpacing/>
            </w:pPr>
            <w:r>
              <w:t>Ethics application []</w:t>
            </w:r>
          </w:p>
          <w:p w14:paraId="7C4F99DB" w14:textId="77777777" w:rsidR="00040C3B" w:rsidRDefault="00040C3B" w:rsidP="0034014D">
            <w:pPr>
              <w:spacing w:line="240" w:lineRule="auto"/>
              <w:contextualSpacing/>
            </w:pPr>
            <w:r>
              <w:t>Study in progress []</w:t>
            </w:r>
          </w:p>
          <w:p w14:paraId="14CE6677" w14:textId="77777777" w:rsidR="00040C3B" w:rsidRDefault="00040C3B" w:rsidP="0034014D">
            <w:pPr>
              <w:spacing w:line="240" w:lineRule="auto"/>
              <w:contextualSpacing/>
            </w:pPr>
            <w:r>
              <w:t>Manuscript write-up in progress or under review []</w:t>
            </w:r>
          </w:p>
          <w:p w14:paraId="4D3D991A" w14:textId="77777777" w:rsidR="00040C3B" w:rsidRDefault="00040C3B" w:rsidP="0034014D">
            <w:pPr>
              <w:spacing w:line="240" w:lineRule="auto"/>
              <w:contextualSpacing/>
            </w:pPr>
            <w:r>
              <w:t>Accepted or published []</w:t>
            </w:r>
          </w:p>
          <w:p w14:paraId="4F276B49" w14:textId="77777777" w:rsidR="00040C3B" w:rsidRPr="000324A0" w:rsidRDefault="00040C3B" w:rsidP="0034014D">
            <w:pPr>
              <w:spacing w:line="240" w:lineRule="auto"/>
              <w:contextualSpacing/>
            </w:pPr>
            <w:r>
              <w:t>Aborted</w:t>
            </w:r>
          </w:p>
        </w:tc>
      </w:tr>
      <w:tr w:rsidR="00040C3B" w:rsidRPr="0077771B" w14:paraId="531B98E1" w14:textId="77777777" w:rsidTr="0034014D">
        <w:tc>
          <w:tcPr>
            <w:tcW w:w="2694" w:type="dxa"/>
            <w:shd w:val="clear" w:color="auto" w:fill="D9D9D9" w:themeFill="background1" w:themeFillShade="D9"/>
          </w:tcPr>
          <w:p w14:paraId="12D79BA0" w14:textId="77777777" w:rsidR="00040C3B" w:rsidRDefault="00040C3B" w:rsidP="0034014D">
            <w:pPr>
              <w:spacing w:line="240" w:lineRule="auto"/>
              <w:contextualSpacing/>
              <w:rPr>
                <w:b/>
              </w:rPr>
            </w:pPr>
            <w:r>
              <w:rPr>
                <w:b/>
              </w:rPr>
              <w:t>IMSANZ-RN OFFICE USE ONLY</w:t>
            </w:r>
          </w:p>
        </w:tc>
        <w:tc>
          <w:tcPr>
            <w:tcW w:w="7371" w:type="dxa"/>
            <w:shd w:val="clear" w:color="auto" w:fill="D9D9D9" w:themeFill="background1" w:themeFillShade="D9"/>
          </w:tcPr>
          <w:p w14:paraId="747A1746" w14:textId="0FF7BDEA" w:rsidR="00040C3B" w:rsidRPr="00273122" w:rsidRDefault="00420842" w:rsidP="0034014D">
            <w:pPr>
              <w:spacing w:line="240" w:lineRule="auto"/>
              <w:contextualSpacing/>
              <w:rPr>
                <w:b/>
                <w:bCs/>
              </w:rPr>
            </w:pPr>
            <w:r>
              <w:rPr>
                <w:b/>
                <w:bCs/>
              </w:rPr>
              <w:t>ENDORSED</w:t>
            </w:r>
          </w:p>
          <w:p w14:paraId="0ADBC395" w14:textId="2E3D71C2" w:rsidR="00040C3B" w:rsidRPr="00273122" w:rsidRDefault="00040C3B" w:rsidP="0034014D">
            <w:pPr>
              <w:spacing w:line="240" w:lineRule="auto"/>
              <w:contextualSpacing/>
              <w:rPr>
                <w:b/>
                <w:bCs/>
              </w:rPr>
            </w:pPr>
            <w:r w:rsidRPr="00273122">
              <w:rPr>
                <w:b/>
                <w:bCs/>
              </w:rPr>
              <w:t xml:space="preserve">NOT </w:t>
            </w:r>
            <w:r w:rsidR="00420842">
              <w:rPr>
                <w:b/>
                <w:bCs/>
              </w:rPr>
              <w:t>ENDORSED</w:t>
            </w:r>
          </w:p>
          <w:p w14:paraId="2BEAD504" w14:textId="77777777" w:rsidR="00040C3B" w:rsidRPr="00273122" w:rsidRDefault="00040C3B" w:rsidP="0034014D">
            <w:pPr>
              <w:spacing w:line="240" w:lineRule="auto"/>
              <w:contextualSpacing/>
              <w:rPr>
                <w:b/>
                <w:bCs/>
              </w:rPr>
            </w:pPr>
          </w:p>
          <w:p w14:paraId="6AFAC288" w14:textId="77777777" w:rsidR="00040C3B" w:rsidRDefault="00040C3B" w:rsidP="0034014D">
            <w:pPr>
              <w:spacing w:line="240" w:lineRule="auto"/>
              <w:contextualSpacing/>
              <w:rPr>
                <w:b/>
                <w:bCs/>
              </w:rPr>
            </w:pPr>
          </w:p>
          <w:p w14:paraId="474592C0" w14:textId="77777777" w:rsidR="00040C3B" w:rsidRPr="000324A0" w:rsidRDefault="00040C3B" w:rsidP="00420842">
            <w:pPr>
              <w:spacing w:line="240" w:lineRule="auto"/>
              <w:contextualSpacing/>
            </w:pPr>
          </w:p>
        </w:tc>
      </w:tr>
    </w:tbl>
    <w:p w14:paraId="64C4D45D" w14:textId="77777777" w:rsidR="00040C3B" w:rsidRDefault="00040C3B" w:rsidP="00040C3B"/>
    <w:p w14:paraId="254542B9" w14:textId="77777777" w:rsidR="009E45E5" w:rsidRDefault="009E45E5"/>
    <w:sectPr w:rsidR="009E45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FAAF2" w14:textId="77777777" w:rsidR="00C21E2E" w:rsidRDefault="00C21E2E" w:rsidP="009832C7">
      <w:pPr>
        <w:spacing w:after="0" w:line="240" w:lineRule="auto"/>
      </w:pPr>
      <w:r>
        <w:separator/>
      </w:r>
    </w:p>
  </w:endnote>
  <w:endnote w:type="continuationSeparator" w:id="0">
    <w:p w14:paraId="2D5A4555" w14:textId="77777777" w:rsidR="00C21E2E" w:rsidRDefault="00C21E2E" w:rsidP="0098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C6AF" w14:textId="1F808D3A" w:rsidR="009832C7" w:rsidRDefault="009832C7" w:rsidP="009832C7">
    <w:pPr>
      <w:pStyle w:val="Footer"/>
      <w:rPr>
        <w:color w:val="808080" w:themeColor="background1" w:themeShade="80"/>
      </w:rPr>
    </w:pPr>
    <w:r>
      <w:rPr>
        <w:color w:val="808080" w:themeColor="background1" w:themeShade="80"/>
      </w:rPr>
      <w:t>IMSANZ-RN Research Proposal Submission Form (2022)</w:t>
    </w:r>
  </w:p>
  <w:p w14:paraId="21752E39" w14:textId="1ED788F8" w:rsidR="009832C7" w:rsidRDefault="009832C7" w:rsidP="009832C7">
    <w:pPr>
      <w:pStyle w:val="Footer"/>
      <w:rPr>
        <w:color w:val="808080" w:themeColor="background1" w:themeShade="80"/>
      </w:rPr>
    </w:pPr>
    <w:r>
      <w:rPr>
        <w:color w:val="808080" w:themeColor="background1" w:themeShade="80"/>
      </w:rPr>
      <w:t xml:space="preserve">Version </w:t>
    </w:r>
    <w:r w:rsidR="00D47D37">
      <w:rPr>
        <w:color w:val="808080" w:themeColor="background1" w:themeShade="80"/>
      </w:rPr>
      <w:t>2</w:t>
    </w:r>
    <w:r>
      <w:rPr>
        <w:color w:val="808080" w:themeColor="background1" w:themeShade="80"/>
      </w:rPr>
      <w:t xml:space="preserve">.0, Approved by IMSANZ Board </w:t>
    </w:r>
    <w:r w:rsidR="00D47D37">
      <w:rPr>
        <w:color w:val="808080" w:themeColor="background1" w:themeShade="80"/>
      </w:rPr>
      <w:t>Dec</w:t>
    </w:r>
    <w:r>
      <w:rPr>
        <w:color w:val="808080" w:themeColor="background1" w:themeShade="80"/>
      </w:rPr>
      <w:t xml:space="preserve"> 2023</w:t>
    </w:r>
  </w:p>
  <w:p w14:paraId="34E538EB" w14:textId="04C8D24C" w:rsidR="009832C7" w:rsidRDefault="009832C7">
    <w:pPr>
      <w:pStyle w:val="Footer"/>
    </w:pPr>
  </w:p>
  <w:p w14:paraId="51FD149E" w14:textId="77777777" w:rsidR="009832C7" w:rsidRDefault="0098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3CA69" w14:textId="77777777" w:rsidR="00C21E2E" w:rsidRDefault="00C21E2E" w:rsidP="009832C7">
      <w:pPr>
        <w:spacing w:after="0" w:line="240" w:lineRule="auto"/>
      </w:pPr>
      <w:r>
        <w:separator/>
      </w:r>
    </w:p>
  </w:footnote>
  <w:footnote w:type="continuationSeparator" w:id="0">
    <w:p w14:paraId="49449DD8" w14:textId="77777777" w:rsidR="00C21E2E" w:rsidRDefault="00C21E2E" w:rsidP="00983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0DAD"/>
    <w:multiLevelType w:val="hybridMultilevel"/>
    <w:tmpl w:val="BC4C66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E1BAC"/>
    <w:multiLevelType w:val="hybridMultilevel"/>
    <w:tmpl w:val="09F68EC6"/>
    <w:lvl w:ilvl="0" w:tplc="8F9484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9248233">
    <w:abstractNumId w:val="0"/>
  </w:num>
  <w:num w:numId="2" w16cid:durableId="92919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B"/>
    <w:rsid w:val="00040C3B"/>
    <w:rsid w:val="000F4A95"/>
    <w:rsid w:val="0031306F"/>
    <w:rsid w:val="00334D1C"/>
    <w:rsid w:val="003D294C"/>
    <w:rsid w:val="00420842"/>
    <w:rsid w:val="004F6901"/>
    <w:rsid w:val="0052470D"/>
    <w:rsid w:val="00572F8F"/>
    <w:rsid w:val="00651DA3"/>
    <w:rsid w:val="008A310A"/>
    <w:rsid w:val="009832C7"/>
    <w:rsid w:val="009E45E5"/>
    <w:rsid w:val="00A03D27"/>
    <w:rsid w:val="00A13E55"/>
    <w:rsid w:val="00AD31D1"/>
    <w:rsid w:val="00B34B20"/>
    <w:rsid w:val="00B75983"/>
    <w:rsid w:val="00C215ED"/>
    <w:rsid w:val="00C21E2E"/>
    <w:rsid w:val="00D0486C"/>
    <w:rsid w:val="00D43CCA"/>
    <w:rsid w:val="00D47D37"/>
    <w:rsid w:val="00DA2809"/>
    <w:rsid w:val="00E8794B"/>
    <w:rsid w:val="00EE74B3"/>
    <w:rsid w:val="00F83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940"/>
  <w15:chartTrackingRefBased/>
  <w15:docId w15:val="{4130D677-48D7-46DA-B008-EF6E2E4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B"/>
    <w:pPr>
      <w:ind w:left="720"/>
      <w:contextualSpacing/>
    </w:pPr>
  </w:style>
  <w:style w:type="paragraph" w:styleId="Header">
    <w:name w:val="header"/>
    <w:basedOn w:val="Normal"/>
    <w:link w:val="HeaderChar"/>
    <w:uiPriority w:val="99"/>
    <w:unhideWhenUsed/>
    <w:rsid w:val="0098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C7"/>
  </w:style>
  <w:style w:type="paragraph" w:styleId="Footer">
    <w:name w:val="footer"/>
    <w:basedOn w:val="Normal"/>
    <w:link w:val="FooterChar"/>
    <w:uiPriority w:val="99"/>
    <w:unhideWhenUsed/>
    <w:rsid w:val="0098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C7"/>
  </w:style>
  <w:style w:type="paragraph" w:styleId="Revision">
    <w:name w:val="Revision"/>
    <w:hidden/>
    <w:uiPriority w:val="99"/>
    <w:semiHidden/>
    <w:rsid w:val="008A310A"/>
    <w:pPr>
      <w:spacing w:after="0" w:line="240" w:lineRule="auto"/>
    </w:pPr>
  </w:style>
  <w:style w:type="character" w:styleId="Hyperlink">
    <w:name w:val="Hyperlink"/>
    <w:basedOn w:val="DefaultParagraphFont"/>
    <w:uiPriority w:val="99"/>
    <w:unhideWhenUsed/>
    <w:rsid w:val="00C215ED"/>
    <w:rPr>
      <w:color w:val="0563C1" w:themeColor="hyperlink"/>
      <w:u w:val="single"/>
    </w:rPr>
  </w:style>
  <w:style w:type="character" w:styleId="UnresolvedMention">
    <w:name w:val="Unresolved Mention"/>
    <w:basedOn w:val="DefaultParagraphFont"/>
    <w:uiPriority w:val="99"/>
    <w:semiHidden/>
    <w:unhideWhenUsed/>
    <w:rsid w:val="00C2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89474">
      <w:bodyDiv w:val="1"/>
      <w:marLeft w:val="0"/>
      <w:marRight w:val="0"/>
      <w:marTop w:val="0"/>
      <w:marBottom w:val="0"/>
      <w:divBdr>
        <w:top w:val="none" w:sz="0" w:space="0" w:color="auto"/>
        <w:left w:val="none" w:sz="0" w:space="0" w:color="auto"/>
        <w:bottom w:val="none" w:sz="0" w:space="0" w:color="auto"/>
        <w:right w:val="none" w:sz="0" w:space="0" w:color="auto"/>
      </w:divBdr>
    </w:div>
    <w:div w:id="295987805">
      <w:bodyDiv w:val="1"/>
      <w:marLeft w:val="0"/>
      <w:marRight w:val="0"/>
      <w:marTop w:val="0"/>
      <w:marBottom w:val="0"/>
      <w:divBdr>
        <w:top w:val="none" w:sz="0" w:space="0" w:color="auto"/>
        <w:left w:val="none" w:sz="0" w:space="0" w:color="auto"/>
        <w:bottom w:val="none" w:sz="0" w:space="0" w:color="auto"/>
        <w:right w:val="none" w:sz="0" w:space="0" w:color="auto"/>
      </w:divBdr>
    </w:div>
    <w:div w:id="1153258541">
      <w:bodyDiv w:val="1"/>
      <w:marLeft w:val="0"/>
      <w:marRight w:val="0"/>
      <w:marTop w:val="0"/>
      <w:marBottom w:val="0"/>
      <w:divBdr>
        <w:top w:val="none" w:sz="0" w:space="0" w:color="auto"/>
        <w:left w:val="none" w:sz="0" w:space="0" w:color="auto"/>
        <w:bottom w:val="none" w:sz="0" w:space="0" w:color="auto"/>
        <w:right w:val="none" w:sz="0" w:space="0" w:color="auto"/>
      </w:divBdr>
    </w:div>
    <w:div w:id="18854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cidserra@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Ar Kar</dc:creator>
  <cp:keywords/>
  <dc:description/>
  <cp:lastModifiedBy>Aung, Ar Kar</cp:lastModifiedBy>
  <cp:revision>2</cp:revision>
  <dcterms:created xsi:type="dcterms:W3CDTF">2024-07-01T05:40:00Z</dcterms:created>
  <dcterms:modified xsi:type="dcterms:W3CDTF">2024-07-01T05:40:00Z</dcterms:modified>
</cp:coreProperties>
</file>